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BF2140">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arto="http://schemas.microsoft.com/office/word/2006/arto"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158"/>
            <w:gridCol w:w="2396"/>
            <w:gridCol w:w="2395"/>
            <w:gridCol w:w="2395"/>
            <w:gridCol w:w="28"/>
          </w:tblGrid>
          <w:tr w:rsidR="00A53E41" w:rsidRPr="00A43AB9" w:rsidTr="00A53E41">
            <w:trPr>
              <w:trHeight w:val="936"/>
            </w:trPr>
            <w:tc>
              <w:tcPr>
                <w:tcW w:w="2268" w:type="dxa"/>
                <w:gridSpan w:val="2"/>
                <w:shd w:val="clear" w:color="auto" w:fill="FFF2CC" w:themeFill="accent4" w:themeFillTint="33"/>
                <w:vAlign w:val="center"/>
              </w:tcPr>
              <w:p w:rsidR="00A53E41" w:rsidRPr="00A43AB9" w:rsidRDefault="00A53E41" w:rsidP="00A53E41">
                <w:pPr>
                  <w:pStyle w:val="Head1"/>
                </w:pPr>
                <w:r w:rsidRPr="00A43AB9">
                  <w:rPr>
                    <w:b w:val="0"/>
                  </w:rPr>
                  <w:t>[</w:t>
                </w:r>
                <w:r w:rsidRPr="00DB7BAE">
                  <w:rPr>
                    <w:color w:val="C00000"/>
                    <w:sz w:val="32"/>
                    <w:szCs w:val="32"/>
                  </w:rPr>
                  <w:t>UE-Nr.</w:t>
                </w:r>
                <w:r w:rsidRPr="00A43AB9">
                  <w:rPr>
                    <w:sz w:val="32"/>
                    <w:szCs w:val="32"/>
                  </w:rPr>
                  <w:t xml:space="preserve"> </w:t>
                </w:r>
                <w:r>
                  <w:rPr>
                    <w:color w:val="auto"/>
                  </w:rPr>
                  <w:t>M-5</w:t>
                </w:r>
                <w:r w:rsidRPr="00A43AB9">
                  <w:rPr>
                    <w:b w:val="0"/>
                  </w:rPr>
                  <w:t>]</w:t>
                </w:r>
              </w:p>
            </w:tc>
            <w:tc>
              <w:tcPr>
                <w:tcW w:w="7372" w:type="dxa"/>
                <w:gridSpan w:val="5"/>
                <w:shd w:val="clear" w:color="auto" w:fill="FFF2CC" w:themeFill="accent4" w:themeFillTint="33"/>
                <w:vAlign w:val="center"/>
              </w:tcPr>
              <w:p w:rsidR="00A53E41" w:rsidRPr="00A43AB9" w:rsidRDefault="00A53E41" w:rsidP="00A53E41">
                <w:pPr>
                  <w:pStyle w:val="Head1"/>
                  <w:rPr>
                    <w:iCs/>
                    <w:color w:val="0070C0"/>
                  </w:rPr>
                </w:pPr>
                <w:r w:rsidRPr="00B11D6D">
                  <w:t>Länderprofile</w:t>
                </w:r>
                <w:r w:rsidRPr="00A43AB9">
                  <w:t xml:space="preserve"> und Ernährungslagen</w:t>
                </w:r>
              </w:p>
            </w:tc>
          </w:tr>
          <w:tr w:rsidR="008C793F" w:rsidRPr="00A43AB9" w:rsidTr="00A53E41">
            <w:trPr>
              <w:gridBefore w:val="1"/>
              <w:gridAfter w:val="1"/>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Gymnasium</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7 – 10</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A43AB9" w:rsidP="000552C3">
                <w:pPr>
                  <w:pStyle w:val="CC-Lizenz-Text"/>
                  <w:spacing w:after="120"/>
                  <w:ind w:right="140"/>
                  <w:rPr>
                    <w:rFonts w:ascii="Calibri" w:hAnsi="Calibri"/>
                    <w:b w:val="0"/>
                    <w:color w:val="auto"/>
                    <w:sz w:val="24"/>
                    <w:szCs w:val="24"/>
                  </w:rPr>
                </w:pPr>
                <w:r w:rsidRPr="000552C3">
                  <w:rPr>
                    <w:rStyle w:val="schwarzZchn"/>
                    <w:b w:val="0"/>
                    <w:szCs w:val="24"/>
                  </w:rPr>
                  <w:t>Erdkunde</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A43AB9" w:rsidP="000552C3">
                <w:pPr>
                  <w:pStyle w:val="CC-Lizenz-Text"/>
                  <w:spacing w:after="120"/>
                  <w:ind w:right="140"/>
                  <w:rPr>
                    <w:b w:val="0"/>
                    <w:color w:val="0563C1" w:themeColor="hyperlink"/>
                    <w:sz w:val="24"/>
                    <w:szCs w:val="24"/>
                    <w:u w:val="single"/>
                  </w:rPr>
                </w:pPr>
                <w:r w:rsidRPr="000552C3">
                  <w:rPr>
                    <w:rStyle w:val="schwarzZchn"/>
                    <w:b w:val="0"/>
                    <w:szCs w:val="24"/>
                  </w:rPr>
                  <w:t>1 – 2 UStd</w:t>
                </w:r>
              </w:p>
            </w:tc>
          </w:tr>
          <w:tr w:rsidR="000552C3" w:rsidRPr="00A43AB9" w:rsidTr="00A53E41">
            <w:trPr>
              <w:gridBefore w:val="1"/>
              <w:gridAfter w:val="1"/>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173248" w:rsidRPr="00A43AB9">
                  <w:t xml:space="preserve"> können</w:t>
                </w:r>
              </w:p>
              <w:p w:rsidR="000552C3" w:rsidRPr="00A43AB9" w:rsidRDefault="000552C3" w:rsidP="000552C3">
                <w:pPr>
                  <w:pStyle w:val="Liste1"/>
                  <w:rPr>
                    <w:color w:val="000000" w:themeColor="text1"/>
                  </w:rPr>
                </w:pPr>
                <w:r w:rsidRPr="00A43AB9">
                  <w:t>die unterschiedlichen Formen der Fehlernährung anha</w:t>
                </w:r>
                <w:r w:rsidR="008C793F">
                  <w:t>nd statistischer (auch englisch</w:t>
                </w:r>
                <w:r w:rsidRPr="00A43AB9">
                  <w:t>sprachiger) Indikatoren und anderer Quellen ermitteln;</w:t>
                </w:r>
              </w:p>
              <w:p w:rsidR="000552C3" w:rsidRPr="00A43AB9" w:rsidRDefault="000552C3" w:rsidP="000552C3">
                <w:pPr>
                  <w:pStyle w:val="Liste1"/>
                </w:pPr>
                <w:r w:rsidRPr="00A43AB9">
                  <w:t>Länderbeispiele anhand dieser Indikatoren darstellen und vergleichen.</w:t>
                </w:r>
              </w:p>
            </w:tc>
          </w:tr>
          <w:tr w:rsidR="008C793F" w:rsidRPr="00A43AB9" w:rsidTr="00A53E41">
            <w:trPr>
              <w:gridBefore w:val="1"/>
              <w:gridAfter w:val="1"/>
              <w:wBefore w:w="30" w:type="dxa"/>
              <w:wAfter w:w="28" w:type="dxa"/>
              <w:trHeight w:val="586"/>
            </w:trPr>
            <w:tc>
              <w:tcPr>
                <w:tcW w:w="9582" w:type="dxa"/>
                <w:gridSpan w:val="5"/>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Kernlernplan </w:t>
                </w:r>
                <w:sdt>
                  <w:sdtPr>
                    <w:id w:val="-1066332485"/>
                    <w:placeholder>
                      <w:docPart w:val="325FC12210854AEBB6B24E879D239AA1"/>
                    </w:placeholder>
                    <w15:color w:val="000000"/>
                  </w:sdtPr>
                  <w:sdtEndPr>
                    <w:rPr>
                      <w:rFonts w:ascii="Comic Sans MS" w:hAnsi="Comic Sans MS"/>
                      <w:b w:val="0"/>
                      <w:bCs w:val="0"/>
                      <w:i/>
                      <w:iCs/>
                      <w:color w:val="0070C0"/>
                    </w:rPr>
                  </w:sdtEndPr>
                  <w:sdtContent>
                    <w:hyperlink r:id="rId16" w:history="1">
                      <w:r w:rsidR="008911F6" w:rsidRPr="00253EBE">
                        <w:rPr>
                          <w:rStyle w:val="Hyperlink"/>
                        </w:rPr>
                        <w:t>3</w:t>
                      </w:r>
                      <w:r w:rsidR="008911F6">
                        <w:rPr>
                          <w:rStyle w:val="Hyperlink"/>
                        </w:rPr>
                        <w:t>408</w:t>
                      </w:r>
                    </w:hyperlink>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8C793F" w:rsidP="008C793F">
                    <w:pPr>
                      <w:spacing w:after="120"/>
                    </w:pPr>
                    <w:r w:rsidRPr="00A43AB9">
                      <w:t>Innerstaatliche und globale Disparitäten (</w:t>
                    </w:r>
                    <w:proofErr w:type="spellStart"/>
                    <w:r w:rsidRPr="00A43AB9">
                      <w:t>IF</w:t>
                    </w:r>
                    <w:proofErr w:type="spellEnd"/>
                    <w:r w:rsidRPr="00A43AB9">
                      <w:t xml:space="preserve"> 7)</w:t>
                    </w:r>
                  </w:p>
                </w:sdtContent>
              </w:sdt>
            </w:tc>
          </w:tr>
        </w:tbl>
      </w:sdtContent>
    </w:sdt>
    <w:p w:rsidR="00106E8D" w:rsidRPr="000552C3" w:rsidRDefault="00106E8D" w:rsidP="000552C3">
      <w:pPr>
        <w:pStyle w:val="Head2blau"/>
      </w:pPr>
      <w:r w:rsidRPr="000552C3">
        <w:t>Erläuterungen zum Inhaltsfeld</w:t>
      </w:r>
    </w:p>
    <w:p w:rsidR="00106E8D" w:rsidRDefault="00106E8D" w:rsidP="00106E8D">
      <w:pPr>
        <w:spacing w:after="80"/>
      </w:pPr>
      <w:r>
        <w:t>Folgt man den statistischen Erhebungen der FAO, so sind rund zwei Milliarden auf der Welt fehlernährt. Diese Zahl umfasst sowohl hungernde Menschen als auch solche, die mangelernährt sind, vielleicht ausreichend Kalorien zu sich nehmen, denen aber wichtige Nährstoffe (Vitamin A, Eisen, Jod, Folsäure) fehlen. Etliche dieser Mangelernährten leiden gleichzeitig an Übergewicht.</w:t>
      </w:r>
    </w:p>
    <w:p w:rsidR="00106E8D" w:rsidRDefault="00106E8D" w:rsidP="00106E8D">
      <w:pPr>
        <w:spacing w:after="80"/>
      </w:pPr>
      <w:r>
        <w:t xml:space="preserve">Diese verschiedenen Formen der Fehlernährung gilt es zur Kenntnis zu nehmen. Sie prägen heute die Herausforderungen der Welternährung, die nicht mehr allein darauf ausgerichtet sein kann, alle Menschen satt zu machen, obwohl auch dieses Ziel (bei 688 Mio. Hungernden) noch längst nicht erreicht ist. Größeres Augenmerk muss heute auf der qualitativen Dimension der Ernährung liegen, auf der Versorgung mit frischen und gesunden Lebensmitteln und einer entsprechenden Vielfalt des (bezahlbaren) Angebots, die auch Obst, Gemüse, Nüsse und (tierisches) Eiweiß umfassen muss. Gerade diese Vielfalt aber ist bedroht durch den weltweiten Ernährungswandel hin zur </w:t>
      </w:r>
      <w:r>
        <w:lastRenderedPageBreak/>
        <w:t>Bevorzugung von industriell erzeugten Fertigprodukten, der oft durch ein Übermaß an Zucker, Salz, gesättigten Fetten oder leeren Kohlehydraten gekennzeichnet sind.</w:t>
      </w:r>
    </w:p>
    <w:p w:rsidR="00106E8D" w:rsidRDefault="00106E8D" w:rsidP="00C11E37">
      <w:pPr>
        <w:spacing w:after="80"/>
      </w:pPr>
      <w:r>
        <w:t>In vielen „Schwellen- und Entwicklungsländern“ ist die Gleichzeitigkeit von Unterernährung und Mangelernährung und Überernährung beobachtbar. Es gilt also, alle Dimensionen der Fehlernährung bei der Bewertung der Ernährungslage zu berücksichtigen.</w:t>
      </w:r>
    </w:p>
    <w:p w:rsidR="00C11E37" w:rsidRDefault="00C11E37" w:rsidP="002D329F">
      <w:pPr>
        <w:pStyle w:val="Textkrper"/>
        <w:spacing w:before="360" w:after="360"/>
      </w:pPr>
      <w:r>
        <w:rPr>
          <w:noProof/>
          <w:lang w:eastAsia="de-DE"/>
        </w:rPr>
        <w:drawing>
          <wp:inline distT="0" distB="0" distL="0" distR="0" wp14:anchorId="67BB1EBA" wp14:editId="1096B897">
            <wp:extent cx="6120000" cy="2469828"/>
            <wp:effectExtent l="0" t="0" r="0"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2469828"/>
                    </a:xfrm>
                    <a:prstGeom prst="rect">
                      <a:avLst/>
                    </a:prstGeom>
                    <a:noFill/>
                    <a:ln>
                      <a:noFill/>
                    </a:ln>
                  </pic:spPr>
                </pic:pic>
              </a:graphicData>
            </a:graphic>
          </wp:inline>
        </w:drawing>
      </w:r>
    </w:p>
    <w:tbl>
      <w:tblPr>
        <w:tblW w:w="9639" w:type="dxa"/>
        <w:tblCellMar>
          <w:top w:w="85" w:type="dxa"/>
          <w:left w:w="142" w:type="dxa"/>
          <w:bottom w:w="85" w:type="dxa"/>
          <w:right w:w="142" w:type="dxa"/>
        </w:tblCellMar>
        <w:tblLook w:val="04A0" w:firstRow="1" w:lastRow="0" w:firstColumn="1" w:lastColumn="0" w:noHBand="0" w:noVBand="1"/>
      </w:tblPr>
      <w:tblGrid>
        <w:gridCol w:w="2024"/>
        <w:gridCol w:w="2453"/>
        <w:gridCol w:w="2691"/>
        <w:gridCol w:w="2471"/>
      </w:tblGrid>
      <w:tr w:rsidR="00C11E37" w:rsidRPr="00841596" w:rsidTr="00C5520C">
        <w:tc>
          <w:tcPr>
            <w:tcW w:w="1905" w:type="dxa"/>
            <w:shd w:val="clear" w:color="auto" w:fill="auto"/>
          </w:tcPr>
          <w:p w:rsidR="00C11E37" w:rsidRPr="002D329F" w:rsidRDefault="00C11E37" w:rsidP="003A2BEF">
            <w:pPr>
              <w:rPr>
                <w:b/>
                <w:bCs/>
              </w:rPr>
            </w:pPr>
            <w:r w:rsidRPr="002D329F">
              <w:rPr>
                <w:b/>
                <w:bCs/>
              </w:rPr>
              <w:t>Region</w:t>
            </w:r>
          </w:p>
        </w:tc>
        <w:tc>
          <w:tcPr>
            <w:tcW w:w="2307" w:type="dxa"/>
            <w:shd w:val="clear" w:color="auto" w:fill="auto"/>
          </w:tcPr>
          <w:p w:rsidR="00C11E37" w:rsidRPr="002D329F" w:rsidRDefault="00C11E37" w:rsidP="003A2BEF">
            <w:pPr>
              <w:jc w:val="center"/>
              <w:rPr>
                <w:b/>
                <w:bCs/>
              </w:rPr>
            </w:pPr>
            <w:r w:rsidRPr="002D329F">
              <w:rPr>
                <w:b/>
                <w:bCs/>
              </w:rPr>
              <w:t>Hungernde</w:t>
            </w:r>
          </w:p>
        </w:tc>
        <w:tc>
          <w:tcPr>
            <w:tcW w:w="2531" w:type="dxa"/>
            <w:shd w:val="clear" w:color="auto" w:fill="auto"/>
          </w:tcPr>
          <w:p w:rsidR="00C11E37" w:rsidRPr="002D329F" w:rsidRDefault="00C11E37" w:rsidP="003A2BEF">
            <w:pPr>
              <w:jc w:val="center"/>
              <w:rPr>
                <w:b/>
                <w:bCs/>
              </w:rPr>
            </w:pPr>
            <w:r w:rsidRPr="002D329F">
              <w:rPr>
                <w:b/>
                <w:bCs/>
              </w:rPr>
              <w:t>Menschen ohne Ernährungssicherheit*</w:t>
            </w:r>
          </w:p>
        </w:tc>
        <w:tc>
          <w:tcPr>
            <w:tcW w:w="2324" w:type="dxa"/>
            <w:shd w:val="clear" w:color="auto" w:fill="auto"/>
          </w:tcPr>
          <w:p w:rsidR="00C11E37" w:rsidRPr="002D329F" w:rsidRDefault="00C11E37" w:rsidP="003A2BEF">
            <w:pPr>
              <w:jc w:val="center"/>
              <w:rPr>
                <w:b/>
                <w:bCs/>
              </w:rPr>
            </w:pPr>
            <w:r w:rsidRPr="002D329F">
              <w:rPr>
                <w:b/>
                <w:bCs/>
              </w:rPr>
              <w:t>Adipositas</w:t>
            </w:r>
            <w:r w:rsidRPr="002D329F">
              <w:rPr>
                <w:b/>
                <w:bCs/>
              </w:rPr>
              <w:br/>
              <w:t>Erwachsene</w:t>
            </w:r>
          </w:p>
        </w:tc>
      </w:tr>
      <w:tr w:rsidR="00C11E37" w:rsidRPr="00841596" w:rsidTr="00C5520C">
        <w:tc>
          <w:tcPr>
            <w:tcW w:w="1905" w:type="dxa"/>
            <w:shd w:val="clear" w:color="auto" w:fill="BFD9F2"/>
          </w:tcPr>
          <w:p w:rsidR="00C11E37" w:rsidRPr="00841596" w:rsidRDefault="00C11E37" w:rsidP="003A2BEF">
            <w:r w:rsidRPr="00841596">
              <w:t>Welt</w:t>
            </w:r>
          </w:p>
        </w:tc>
        <w:tc>
          <w:tcPr>
            <w:tcW w:w="2307" w:type="dxa"/>
            <w:shd w:val="clear" w:color="auto" w:fill="BFD9F2"/>
          </w:tcPr>
          <w:p w:rsidR="00C11E37" w:rsidRPr="00841596" w:rsidRDefault="00C11E37" w:rsidP="003A2BEF">
            <w:pPr>
              <w:jc w:val="center"/>
              <w:rPr>
                <w:sz w:val="20"/>
              </w:rPr>
            </w:pPr>
            <w:r w:rsidRPr="00841596">
              <w:rPr>
                <w:sz w:val="20"/>
              </w:rPr>
              <w:t>201</w:t>
            </w:r>
            <w:r>
              <w:rPr>
                <w:sz w:val="20"/>
              </w:rPr>
              <w:t>9</w:t>
            </w:r>
            <w:r w:rsidRPr="00841596">
              <w:rPr>
                <w:sz w:val="20"/>
              </w:rPr>
              <w:t>:</w:t>
            </w:r>
            <w:r w:rsidRPr="00841596">
              <w:rPr>
                <w:sz w:val="20"/>
              </w:rPr>
              <w:br/>
            </w:r>
            <w:r>
              <w:rPr>
                <w:b/>
                <w:bCs/>
                <w:sz w:val="20"/>
              </w:rPr>
              <w:t>688</w:t>
            </w:r>
            <w:r w:rsidRPr="00452DF0">
              <w:rPr>
                <w:b/>
                <w:bCs/>
                <w:sz w:val="20"/>
              </w:rPr>
              <w:t xml:space="preserve"> Mio. =</w:t>
            </w:r>
            <w:r>
              <w:rPr>
                <w:b/>
                <w:bCs/>
                <w:sz w:val="20"/>
              </w:rPr>
              <w:t>8,9</w:t>
            </w:r>
            <w:r w:rsidRPr="00452DF0">
              <w:rPr>
                <w:b/>
                <w:bCs/>
                <w:sz w:val="20"/>
              </w:rPr>
              <w:t>%</w:t>
            </w:r>
          </w:p>
        </w:tc>
        <w:tc>
          <w:tcPr>
            <w:tcW w:w="2531" w:type="dxa"/>
            <w:shd w:val="clear" w:color="auto" w:fill="BFD9F2"/>
          </w:tcPr>
          <w:p w:rsidR="00C11E37" w:rsidRPr="00841596" w:rsidRDefault="00C11E37" w:rsidP="003A2BEF">
            <w:pPr>
              <w:jc w:val="center"/>
              <w:rPr>
                <w:sz w:val="20"/>
              </w:rPr>
            </w:pPr>
            <w:r w:rsidRPr="00841596">
              <w:rPr>
                <w:sz w:val="20"/>
              </w:rPr>
              <w:t>201</w:t>
            </w:r>
            <w:r>
              <w:rPr>
                <w:sz w:val="20"/>
              </w:rPr>
              <w:t>9</w:t>
            </w:r>
            <w:r w:rsidRPr="00841596">
              <w:rPr>
                <w:sz w:val="20"/>
              </w:rPr>
              <w:t xml:space="preserve">: </w:t>
            </w:r>
            <w:r>
              <w:rPr>
                <w:sz w:val="20"/>
              </w:rPr>
              <w:br/>
            </w:r>
            <w:r>
              <w:rPr>
                <w:b/>
                <w:bCs/>
                <w:sz w:val="20"/>
              </w:rPr>
              <w:t>2</w:t>
            </w:r>
            <w:r w:rsidRPr="00452DF0">
              <w:rPr>
                <w:b/>
                <w:bCs/>
                <w:sz w:val="20"/>
              </w:rPr>
              <w:t>.</w:t>
            </w:r>
            <w:r>
              <w:rPr>
                <w:b/>
                <w:bCs/>
                <w:sz w:val="20"/>
              </w:rPr>
              <w:t>001</w:t>
            </w:r>
            <w:r w:rsidRPr="00452DF0">
              <w:rPr>
                <w:b/>
                <w:bCs/>
                <w:sz w:val="20"/>
              </w:rPr>
              <w:t xml:space="preserve"> Mio. =</w:t>
            </w:r>
            <w:r w:rsidR="002D329F">
              <w:rPr>
                <w:b/>
                <w:bCs/>
                <w:sz w:val="20"/>
              </w:rPr>
              <w:t xml:space="preserve"> </w:t>
            </w:r>
            <w:r w:rsidRPr="00452DF0">
              <w:rPr>
                <w:b/>
                <w:bCs/>
                <w:sz w:val="20"/>
              </w:rPr>
              <w:t>25,</w:t>
            </w:r>
            <w:r>
              <w:rPr>
                <w:b/>
                <w:bCs/>
                <w:sz w:val="20"/>
              </w:rPr>
              <w:t>9</w:t>
            </w:r>
            <w:r w:rsidRPr="00452DF0">
              <w:rPr>
                <w:b/>
                <w:bCs/>
                <w:sz w:val="20"/>
              </w:rPr>
              <w:t>%</w:t>
            </w:r>
          </w:p>
        </w:tc>
        <w:tc>
          <w:tcPr>
            <w:tcW w:w="2324" w:type="dxa"/>
            <w:shd w:val="clear" w:color="auto" w:fill="BFD9F2"/>
          </w:tcPr>
          <w:p w:rsidR="00C11E37" w:rsidRPr="00841596" w:rsidRDefault="00C11E37" w:rsidP="003A2BEF">
            <w:pPr>
              <w:jc w:val="center"/>
              <w:rPr>
                <w:sz w:val="20"/>
              </w:rPr>
            </w:pPr>
            <w:r w:rsidRPr="00841596">
              <w:rPr>
                <w:sz w:val="20"/>
              </w:rPr>
              <w:t xml:space="preserve">2016: </w:t>
            </w:r>
            <w:r>
              <w:rPr>
                <w:sz w:val="20"/>
              </w:rPr>
              <w:br/>
            </w:r>
            <w:r w:rsidRPr="00452DF0">
              <w:rPr>
                <w:b/>
                <w:bCs/>
                <w:sz w:val="20"/>
              </w:rPr>
              <w:t>67</w:t>
            </w:r>
            <w:r>
              <w:rPr>
                <w:b/>
                <w:bCs/>
                <w:sz w:val="20"/>
              </w:rPr>
              <w:t>6</w:t>
            </w:r>
            <w:r w:rsidRPr="00452DF0">
              <w:rPr>
                <w:b/>
                <w:bCs/>
                <w:sz w:val="20"/>
              </w:rPr>
              <w:t xml:space="preserve"> Mio. = 13,</w:t>
            </w:r>
            <w:r>
              <w:rPr>
                <w:b/>
                <w:bCs/>
                <w:sz w:val="20"/>
              </w:rPr>
              <w:t>1</w:t>
            </w:r>
            <w:r w:rsidRPr="00452DF0">
              <w:rPr>
                <w:b/>
                <w:bCs/>
                <w:sz w:val="20"/>
              </w:rPr>
              <w:t>%</w:t>
            </w:r>
          </w:p>
        </w:tc>
      </w:tr>
      <w:tr w:rsidR="00C11E37" w:rsidRPr="00841596" w:rsidTr="00C5520C">
        <w:tc>
          <w:tcPr>
            <w:tcW w:w="1905" w:type="dxa"/>
            <w:shd w:val="clear" w:color="auto" w:fill="auto"/>
          </w:tcPr>
          <w:p w:rsidR="00C11E37" w:rsidRPr="00841596" w:rsidRDefault="00C11E37" w:rsidP="003A2BEF">
            <w:r w:rsidRPr="00841596">
              <w:t>Welt</w:t>
            </w:r>
          </w:p>
        </w:tc>
        <w:tc>
          <w:tcPr>
            <w:tcW w:w="2307" w:type="dxa"/>
            <w:shd w:val="clear" w:color="auto" w:fill="auto"/>
          </w:tcPr>
          <w:p w:rsidR="00C11E37" w:rsidRPr="00841596" w:rsidRDefault="00C11E37" w:rsidP="003A2BEF">
            <w:pPr>
              <w:jc w:val="center"/>
              <w:rPr>
                <w:sz w:val="20"/>
              </w:rPr>
            </w:pPr>
            <w:r w:rsidRPr="00841596">
              <w:rPr>
                <w:sz w:val="20"/>
              </w:rPr>
              <w:t>2005:</w:t>
            </w:r>
            <w:r w:rsidRPr="00841596">
              <w:rPr>
                <w:sz w:val="20"/>
              </w:rPr>
              <w:br/>
            </w:r>
            <w:r>
              <w:rPr>
                <w:b/>
                <w:bCs/>
                <w:sz w:val="20"/>
              </w:rPr>
              <w:t>826</w:t>
            </w:r>
            <w:r w:rsidRPr="00452DF0">
              <w:rPr>
                <w:b/>
                <w:bCs/>
                <w:sz w:val="20"/>
              </w:rPr>
              <w:t xml:space="preserve"> Mio. =1</w:t>
            </w:r>
            <w:r>
              <w:rPr>
                <w:b/>
                <w:bCs/>
                <w:sz w:val="20"/>
              </w:rPr>
              <w:t>2,6</w:t>
            </w:r>
            <w:r w:rsidRPr="00452DF0">
              <w:rPr>
                <w:b/>
                <w:bCs/>
                <w:sz w:val="20"/>
              </w:rPr>
              <w:t>%</w:t>
            </w:r>
          </w:p>
        </w:tc>
        <w:tc>
          <w:tcPr>
            <w:tcW w:w="2531" w:type="dxa"/>
            <w:shd w:val="clear" w:color="auto" w:fill="auto"/>
          </w:tcPr>
          <w:p w:rsidR="00C11E37" w:rsidRPr="00841596" w:rsidRDefault="00C11E37" w:rsidP="003A2BEF">
            <w:pPr>
              <w:jc w:val="center"/>
              <w:rPr>
                <w:sz w:val="20"/>
              </w:rPr>
            </w:pPr>
            <w:r w:rsidRPr="00841596">
              <w:rPr>
                <w:sz w:val="20"/>
              </w:rPr>
              <w:t>2014:</w:t>
            </w:r>
            <w:r>
              <w:rPr>
                <w:sz w:val="20"/>
              </w:rPr>
              <w:br/>
            </w:r>
            <w:r w:rsidRPr="00452DF0">
              <w:rPr>
                <w:b/>
                <w:bCs/>
                <w:sz w:val="20"/>
              </w:rPr>
              <w:t>1.</w:t>
            </w:r>
            <w:r>
              <w:rPr>
                <w:b/>
                <w:bCs/>
                <w:sz w:val="20"/>
              </w:rPr>
              <w:t>634</w:t>
            </w:r>
            <w:r w:rsidRPr="00452DF0">
              <w:rPr>
                <w:b/>
                <w:bCs/>
                <w:sz w:val="20"/>
              </w:rPr>
              <w:t xml:space="preserve"> Mio. = 2</w:t>
            </w:r>
            <w:r>
              <w:rPr>
                <w:b/>
                <w:bCs/>
                <w:sz w:val="20"/>
              </w:rPr>
              <w:t>2,4</w:t>
            </w:r>
            <w:r w:rsidRPr="00452DF0">
              <w:rPr>
                <w:b/>
                <w:bCs/>
                <w:sz w:val="20"/>
              </w:rPr>
              <w:t>%</w:t>
            </w:r>
          </w:p>
        </w:tc>
        <w:tc>
          <w:tcPr>
            <w:tcW w:w="2324" w:type="dxa"/>
            <w:shd w:val="clear" w:color="auto" w:fill="auto"/>
          </w:tcPr>
          <w:p w:rsidR="00C11E37" w:rsidRPr="00841596" w:rsidRDefault="00C11E37" w:rsidP="003A2BEF">
            <w:pPr>
              <w:jc w:val="center"/>
              <w:rPr>
                <w:sz w:val="20"/>
              </w:rPr>
            </w:pPr>
            <w:r w:rsidRPr="00841596">
              <w:rPr>
                <w:sz w:val="20"/>
              </w:rPr>
              <w:t>2012:</w:t>
            </w:r>
            <w:r>
              <w:rPr>
                <w:sz w:val="20"/>
              </w:rPr>
              <w:br/>
            </w:r>
            <w:r w:rsidRPr="00452DF0">
              <w:rPr>
                <w:b/>
                <w:bCs/>
                <w:sz w:val="20"/>
              </w:rPr>
              <w:t>5</w:t>
            </w:r>
            <w:r>
              <w:rPr>
                <w:b/>
                <w:bCs/>
                <w:sz w:val="20"/>
              </w:rPr>
              <w:t>7</w:t>
            </w:r>
            <w:r w:rsidRPr="00452DF0">
              <w:rPr>
                <w:b/>
                <w:bCs/>
                <w:sz w:val="20"/>
              </w:rPr>
              <w:t>4 Mio. = 11,</w:t>
            </w:r>
            <w:r>
              <w:rPr>
                <w:b/>
                <w:bCs/>
                <w:sz w:val="20"/>
              </w:rPr>
              <w:t>8</w:t>
            </w:r>
            <w:r w:rsidRPr="00452DF0">
              <w:rPr>
                <w:b/>
                <w:bCs/>
                <w:sz w:val="20"/>
              </w:rPr>
              <w:t>%</w:t>
            </w:r>
          </w:p>
        </w:tc>
      </w:tr>
      <w:tr w:rsidR="00C11E37" w:rsidRPr="00841596" w:rsidTr="00C5520C">
        <w:tc>
          <w:tcPr>
            <w:tcW w:w="1905" w:type="dxa"/>
            <w:shd w:val="clear" w:color="auto" w:fill="BFD9F2"/>
          </w:tcPr>
          <w:p w:rsidR="00C11E37" w:rsidRPr="00841596" w:rsidRDefault="00C11E37" w:rsidP="003A2BEF">
            <w:r w:rsidRPr="00841596">
              <w:t>Subsahara Afrika</w:t>
            </w:r>
          </w:p>
        </w:tc>
        <w:tc>
          <w:tcPr>
            <w:tcW w:w="2307" w:type="dxa"/>
            <w:shd w:val="clear" w:color="auto" w:fill="BFD9F2"/>
          </w:tcPr>
          <w:p w:rsidR="00C11E37" w:rsidRPr="00841596" w:rsidRDefault="00C11E37" w:rsidP="003A2BEF">
            <w:pPr>
              <w:jc w:val="center"/>
              <w:rPr>
                <w:sz w:val="20"/>
              </w:rPr>
            </w:pPr>
            <w:r w:rsidRPr="00841596">
              <w:rPr>
                <w:sz w:val="20"/>
              </w:rPr>
              <w:t>201</w:t>
            </w:r>
            <w:r>
              <w:rPr>
                <w:sz w:val="20"/>
              </w:rPr>
              <w:t>9</w:t>
            </w:r>
            <w:r w:rsidRPr="00841596">
              <w:rPr>
                <w:sz w:val="20"/>
              </w:rPr>
              <w:t>:</w:t>
            </w:r>
            <w:r w:rsidRPr="00841596">
              <w:rPr>
                <w:sz w:val="20"/>
              </w:rPr>
              <w:br/>
            </w:r>
            <w:r w:rsidRPr="00452DF0">
              <w:rPr>
                <w:b/>
                <w:bCs/>
                <w:sz w:val="20"/>
              </w:rPr>
              <w:t>23</w:t>
            </w:r>
            <w:r>
              <w:rPr>
                <w:b/>
                <w:bCs/>
                <w:sz w:val="20"/>
              </w:rPr>
              <w:t>5</w:t>
            </w:r>
            <w:r w:rsidRPr="00452DF0">
              <w:rPr>
                <w:b/>
                <w:bCs/>
                <w:sz w:val="20"/>
              </w:rPr>
              <w:t xml:space="preserve"> Mio. = 22,</w:t>
            </w:r>
            <w:r>
              <w:rPr>
                <w:b/>
                <w:bCs/>
                <w:sz w:val="20"/>
              </w:rPr>
              <w:t>0</w:t>
            </w:r>
            <w:r w:rsidRPr="00452DF0">
              <w:rPr>
                <w:b/>
                <w:bCs/>
                <w:sz w:val="20"/>
              </w:rPr>
              <w:t>%</w:t>
            </w:r>
          </w:p>
        </w:tc>
        <w:tc>
          <w:tcPr>
            <w:tcW w:w="2531" w:type="dxa"/>
            <w:shd w:val="clear" w:color="auto" w:fill="BFD9F2"/>
          </w:tcPr>
          <w:p w:rsidR="00C11E37" w:rsidRPr="00841596" w:rsidRDefault="00C11E37" w:rsidP="003A2BEF">
            <w:pPr>
              <w:jc w:val="center"/>
              <w:rPr>
                <w:sz w:val="20"/>
              </w:rPr>
            </w:pPr>
            <w:r w:rsidRPr="00841596">
              <w:rPr>
                <w:sz w:val="20"/>
              </w:rPr>
              <w:t>201</w:t>
            </w:r>
            <w:r>
              <w:rPr>
                <w:sz w:val="20"/>
              </w:rPr>
              <w:t>9</w:t>
            </w:r>
            <w:r w:rsidRPr="00841596">
              <w:rPr>
                <w:sz w:val="20"/>
              </w:rPr>
              <w:t>:</w:t>
            </w:r>
            <w:r>
              <w:rPr>
                <w:sz w:val="20"/>
              </w:rPr>
              <w:br/>
            </w:r>
            <w:r>
              <w:rPr>
                <w:b/>
                <w:bCs/>
                <w:sz w:val="20"/>
              </w:rPr>
              <w:t>605</w:t>
            </w:r>
            <w:r w:rsidRPr="00452DF0">
              <w:rPr>
                <w:b/>
                <w:bCs/>
                <w:sz w:val="20"/>
              </w:rPr>
              <w:t xml:space="preserve"> Mio. = </w:t>
            </w:r>
            <w:r>
              <w:rPr>
                <w:b/>
                <w:bCs/>
                <w:sz w:val="20"/>
              </w:rPr>
              <w:t>56,8</w:t>
            </w:r>
            <w:r w:rsidRPr="00452DF0">
              <w:rPr>
                <w:b/>
                <w:bCs/>
                <w:sz w:val="20"/>
              </w:rPr>
              <w:t>%</w:t>
            </w:r>
          </w:p>
        </w:tc>
        <w:tc>
          <w:tcPr>
            <w:tcW w:w="2324" w:type="dxa"/>
            <w:shd w:val="clear" w:color="auto" w:fill="BFD9F2"/>
          </w:tcPr>
          <w:p w:rsidR="00C11E37" w:rsidRPr="00841596" w:rsidRDefault="00C11E37" w:rsidP="003A2BEF">
            <w:pPr>
              <w:jc w:val="center"/>
              <w:rPr>
                <w:sz w:val="20"/>
              </w:rPr>
            </w:pPr>
            <w:r w:rsidRPr="00841596">
              <w:rPr>
                <w:sz w:val="20"/>
              </w:rPr>
              <w:t>2016:</w:t>
            </w:r>
            <w:r>
              <w:rPr>
                <w:sz w:val="20"/>
              </w:rPr>
              <w:br/>
            </w:r>
            <w:r w:rsidRPr="00452DF0">
              <w:rPr>
                <w:b/>
                <w:bCs/>
                <w:sz w:val="20"/>
              </w:rPr>
              <w:t>4</w:t>
            </w:r>
            <w:r>
              <w:rPr>
                <w:b/>
                <w:bCs/>
                <w:sz w:val="20"/>
              </w:rPr>
              <w:t>6</w:t>
            </w:r>
            <w:r w:rsidRPr="00452DF0">
              <w:rPr>
                <w:b/>
                <w:bCs/>
                <w:sz w:val="20"/>
              </w:rPr>
              <w:t xml:space="preserve"> Mio. = </w:t>
            </w:r>
            <w:r>
              <w:rPr>
                <w:b/>
                <w:bCs/>
                <w:sz w:val="20"/>
              </w:rPr>
              <w:t>9</w:t>
            </w:r>
            <w:r w:rsidRPr="00452DF0">
              <w:rPr>
                <w:b/>
                <w:bCs/>
                <w:sz w:val="20"/>
              </w:rPr>
              <w:t>,</w:t>
            </w:r>
            <w:r>
              <w:rPr>
                <w:b/>
                <w:bCs/>
                <w:sz w:val="20"/>
              </w:rPr>
              <w:t>2</w:t>
            </w:r>
            <w:r w:rsidRPr="00452DF0">
              <w:rPr>
                <w:b/>
                <w:bCs/>
                <w:sz w:val="20"/>
              </w:rPr>
              <w:t>%</w:t>
            </w:r>
          </w:p>
        </w:tc>
      </w:tr>
      <w:tr w:rsidR="00C11E37" w:rsidRPr="00841596" w:rsidTr="00C5520C">
        <w:tc>
          <w:tcPr>
            <w:tcW w:w="1905" w:type="dxa"/>
            <w:shd w:val="clear" w:color="auto" w:fill="auto"/>
          </w:tcPr>
          <w:p w:rsidR="00C11E37" w:rsidRPr="00841596" w:rsidRDefault="00C11E37" w:rsidP="003A2BEF">
            <w:r w:rsidRPr="00841596">
              <w:t>Subsahara Afrika</w:t>
            </w:r>
          </w:p>
        </w:tc>
        <w:tc>
          <w:tcPr>
            <w:tcW w:w="2307" w:type="dxa"/>
            <w:shd w:val="clear" w:color="auto" w:fill="auto"/>
          </w:tcPr>
          <w:p w:rsidR="00C11E37" w:rsidRPr="00841596" w:rsidRDefault="00C11E37" w:rsidP="003A2BEF">
            <w:pPr>
              <w:jc w:val="center"/>
              <w:rPr>
                <w:sz w:val="20"/>
              </w:rPr>
            </w:pPr>
            <w:r w:rsidRPr="00841596">
              <w:rPr>
                <w:sz w:val="20"/>
              </w:rPr>
              <w:t>2005:</w:t>
            </w:r>
            <w:r w:rsidRPr="00841596">
              <w:rPr>
                <w:sz w:val="20"/>
              </w:rPr>
              <w:br/>
            </w:r>
            <w:r w:rsidRPr="00452DF0">
              <w:rPr>
                <w:b/>
                <w:bCs/>
                <w:sz w:val="20"/>
              </w:rPr>
              <w:t>17</w:t>
            </w:r>
            <w:r>
              <w:rPr>
                <w:b/>
                <w:bCs/>
                <w:sz w:val="20"/>
              </w:rPr>
              <w:t>4</w:t>
            </w:r>
            <w:r w:rsidRPr="00452DF0">
              <w:rPr>
                <w:b/>
                <w:bCs/>
                <w:sz w:val="20"/>
              </w:rPr>
              <w:t xml:space="preserve"> Mio. = 2</w:t>
            </w:r>
            <w:r>
              <w:rPr>
                <w:b/>
                <w:bCs/>
                <w:sz w:val="20"/>
              </w:rPr>
              <w:t>3,9</w:t>
            </w:r>
            <w:r w:rsidRPr="00452DF0">
              <w:rPr>
                <w:b/>
                <w:bCs/>
                <w:sz w:val="20"/>
              </w:rPr>
              <w:t>%</w:t>
            </w:r>
          </w:p>
        </w:tc>
        <w:tc>
          <w:tcPr>
            <w:tcW w:w="2531" w:type="dxa"/>
            <w:shd w:val="clear" w:color="auto" w:fill="auto"/>
          </w:tcPr>
          <w:p w:rsidR="00C11E37" w:rsidRPr="00841596" w:rsidRDefault="00C11E37" w:rsidP="003A2BEF">
            <w:pPr>
              <w:jc w:val="center"/>
              <w:rPr>
                <w:sz w:val="20"/>
              </w:rPr>
            </w:pPr>
            <w:r w:rsidRPr="00841596">
              <w:rPr>
                <w:sz w:val="20"/>
              </w:rPr>
              <w:t>2014:</w:t>
            </w:r>
            <w:r>
              <w:rPr>
                <w:sz w:val="20"/>
              </w:rPr>
              <w:br/>
            </w:r>
            <w:r>
              <w:rPr>
                <w:b/>
                <w:bCs/>
                <w:sz w:val="20"/>
              </w:rPr>
              <w:t>469</w:t>
            </w:r>
            <w:r w:rsidRPr="00452DF0">
              <w:rPr>
                <w:b/>
                <w:bCs/>
                <w:sz w:val="20"/>
              </w:rPr>
              <w:t xml:space="preserve"> Mio. = </w:t>
            </w:r>
            <w:r>
              <w:rPr>
                <w:b/>
                <w:bCs/>
                <w:sz w:val="20"/>
              </w:rPr>
              <w:t>50,3</w:t>
            </w:r>
            <w:r w:rsidRPr="00452DF0">
              <w:rPr>
                <w:b/>
                <w:bCs/>
                <w:sz w:val="20"/>
              </w:rPr>
              <w:t>%</w:t>
            </w:r>
          </w:p>
        </w:tc>
        <w:tc>
          <w:tcPr>
            <w:tcW w:w="2324" w:type="dxa"/>
            <w:shd w:val="clear" w:color="auto" w:fill="auto"/>
          </w:tcPr>
          <w:p w:rsidR="00C11E37" w:rsidRPr="00841596" w:rsidRDefault="00C11E37" w:rsidP="003A2BEF">
            <w:pPr>
              <w:jc w:val="center"/>
              <w:rPr>
                <w:sz w:val="20"/>
              </w:rPr>
            </w:pPr>
            <w:r w:rsidRPr="00841596">
              <w:rPr>
                <w:sz w:val="20"/>
              </w:rPr>
              <w:t>2012:</w:t>
            </w:r>
            <w:r>
              <w:rPr>
                <w:sz w:val="20"/>
              </w:rPr>
              <w:br/>
            </w:r>
            <w:r w:rsidRPr="00452DF0">
              <w:rPr>
                <w:b/>
                <w:bCs/>
                <w:sz w:val="20"/>
              </w:rPr>
              <w:t>3</w:t>
            </w:r>
            <w:r>
              <w:rPr>
                <w:b/>
                <w:bCs/>
                <w:sz w:val="20"/>
              </w:rPr>
              <w:t>5</w:t>
            </w:r>
            <w:r w:rsidRPr="00452DF0">
              <w:rPr>
                <w:b/>
                <w:bCs/>
                <w:sz w:val="20"/>
              </w:rPr>
              <w:t xml:space="preserve"> Mio. </w:t>
            </w:r>
            <w:r>
              <w:rPr>
                <w:b/>
                <w:bCs/>
                <w:sz w:val="20"/>
              </w:rPr>
              <w:t>8</w:t>
            </w:r>
            <w:r w:rsidRPr="00452DF0">
              <w:rPr>
                <w:b/>
                <w:bCs/>
                <w:sz w:val="20"/>
              </w:rPr>
              <w:t>,</w:t>
            </w:r>
            <w:r>
              <w:rPr>
                <w:b/>
                <w:bCs/>
                <w:sz w:val="20"/>
              </w:rPr>
              <w:t>0</w:t>
            </w:r>
            <w:r w:rsidRPr="00452DF0">
              <w:rPr>
                <w:b/>
                <w:bCs/>
                <w:sz w:val="20"/>
              </w:rPr>
              <w:t>%</w:t>
            </w:r>
          </w:p>
        </w:tc>
      </w:tr>
      <w:tr w:rsidR="00C11E37" w:rsidRPr="00841596" w:rsidTr="00C5520C">
        <w:tc>
          <w:tcPr>
            <w:tcW w:w="1905" w:type="dxa"/>
            <w:shd w:val="clear" w:color="auto" w:fill="BFD9F2"/>
          </w:tcPr>
          <w:p w:rsidR="00C11E37" w:rsidRPr="00841596" w:rsidRDefault="00C11E37" w:rsidP="003A2BEF">
            <w:r w:rsidRPr="00841596">
              <w:t>Südasien</w:t>
            </w:r>
          </w:p>
        </w:tc>
        <w:tc>
          <w:tcPr>
            <w:tcW w:w="2307" w:type="dxa"/>
            <w:shd w:val="clear" w:color="auto" w:fill="BFD9F2"/>
          </w:tcPr>
          <w:p w:rsidR="00C11E37" w:rsidRPr="00841596" w:rsidRDefault="00C11E37" w:rsidP="003A2BEF">
            <w:pPr>
              <w:jc w:val="center"/>
              <w:rPr>
                <w:sz w:val="20"/>
              </w:rPr>
            </w:pPr>
            <w:r w:rsidRPr="00841596">
              <w:rPr>
                <w:sz w:val="20"/>
              </w:rPr>
              <w:t>201</w:t>
            </w:r>
            <w:r>
              <w:rPr>
                <w:sz w:val="20"/>
              </w:rPr>
              <w:t>9</w:t>
            </w:r>
            <w:r w:rsidRPr="00841596">
              <w:rPr>
                <w:sz w:val="20"/>
              </w:rPr>
              <w:t>:</w:t>
            </w:r>
            <w:r w:rsidRPr="00841596">
              <w:rPr>
                <w:sz w:val="20"/>
              </w:rPr>
              <w:br/>
            </w:r>
            <w:r w:rsidRPr="00452DF0">
              <w:rPr>
                <w:b/>
                <w:bCs/>
                <w:sz w:val="20"/>
              </w:rPr>
              <w:t>2</w:t>
            </w:r>
            <w:r>
              <w:rPr>
                <w:b/>
                <w:bCs/>
                <w:sz w:val="20"/>
              </w:rPr>
              <w:t>57</w:t>
            </w:r>
            <w:r w:rsidRPr="00452DF0">
              <w:rPr>
                <w:b/>
                <w:bCs/>
                <w:sz w:val="20"/>
              </w:rPr>
              <w:t xml:space="preserve"> Mio. = 1</w:t>
            </w:r>
            <w:r>
              <w:rPr>
                <w:b/>
                <w:bCs/>
                <w:sz w:val="20"/>
              </w:rPr>
              <w:t>3,4</w:t>
            </w:r>
            <w:r w:rsidRPr="00452DF0">
              <w:rPr>
                <w:b/>
                <w:bCs/>
                <w:sz w:val="20"/>
              </w:rPr>
              <w:t>%</w:t>
            </w:r>
          </w:p>
        </w:tc>
        <w:tc>
          <w:tcPr>
            <w:tcW w:w="2531" w:type="dxa"/>
            <w:shd w:val="clear" w:color="auto" w:fill="BFD9F2"/>
          </w:tcPr>
          <w:p w:rsidR="00C11E37" w:rsidRPr="00841596" w:rsidRDefault="00C11E37" w:rsidP="003A2BEF">
            <w:pPr>
              <w:jc w:val="center"/>
              <w:rPr>
                <w:sz w:val="20"/>
              </w:rPr>
            </w:pPr>
            <w:r w:rsidRPr="00841596">
              <w:rPr>
                <w:sz w:val="20"/>
              </w:rPr>
              <w:t>201</w:t>
            </w:r>
            <w:r>
              <w:rPr>
                <w:sz w:val="20"/>
              </w:rPr>
              <w:t>9</w:t>
            </w:r>
            <w:r w:rsidRPr="00841596">
              <w:rPr>
                <w:sz w:val="20"/>
              </w:rPr>
              <w:t>:</w:t>
            </w:r>
            <w:r>
              <w:rPr>
                <w:sz w:val="20"/>
              </w:rPr>
              <w:br/>
            </w:r>
            <w:r>
              <w:rPr>
                <w:b/>
                <w:bCs/>
                <w:sz w:val="20"/>
              </w:rPr>
              <w:t>692</w:t>
            </w:r>
            <w:r w:rsidRPr="00452DF0">
              <w:rPr>
                <w:b/>
                <w:bCs/>
                <w:sz w:val="20"/>
              </w:rPr>
              <w:t xml:space="preserve"> Mio. = 3</w:t>
            </w:r>
            <w:r>
              <w:rPr>
                <w:b/>
                <w:bCs/>
                <w:sz w:val="20"/>
              </w:rPr>
              <w:t>6,1</w:t>
            </w:r>
            <w:r w:rsidRPr="00452DF0">
              <w:rPr>
                <w:b/>
                <w:bCs/>
                <w:sz w:val="20"/>
              </w:rPr>
              <w:t>%</w:t>
            </w:r>
          </w:p>
        </w:tc>
        <w:tc>
          <w:tcPr>
            <w:tcW w:w="2324" w:type="dxa"/>
            <w:shd w:val="clear" w:color="auto" w:fill="BFD9F2"/>
          </w:tcPr>
          <w:p w:rsidR="00C11E37" w:rsidRPr="00841596" w:rsidRDefault="00C11E37" w:rsidP="003A2BEF">
            <w:pPr>
              <w:jc w:val="center"/>
              <w:rPr>
                <w:sz w:val="20"/>
              </w:rPr>
            </w:pPr>
            <w:r w:rsidRPr="00841596">
              <w:rPr>
                <w:sz w:val="20"/>
              </w:rPr>
              <w:t>2016:</w:t>
            </w:r>
            <w:r>
              <w:rPr>
                <w:sz w:val="20"/>
              </w:rPr>
              <w:br/>
            </w:r>
            <w:r w:rsidRPr="00452DF0">
              <w:rPr>
                <w:b/>
                <w:bCs/>
                <w:sz w:val="20"/>
              </w:rPr>
              <w:t>6</w:t>
            </w:r>
            <w:r>
              <w:rPr>
                <w:b/>
                <w:bCs/>
                <w:sz w:val="20"/>
              </w:rPr>
              <w:t>5</w:t>
            </w:r>
            <w:r w:rsidRPr="00452DF0">
              <w:rPr>
                <w:b/>
                <w:bCs/>
                <w:sz w:val="20"/>
              </w:rPr>
              <w:t xml:space="preserve"> Mio. 5,</w:t>
            </w:r>
            <w:r>
              <w:rPr>
                <w:b/>
                <w:bCs/>
                <w:sz w:val="20"/>
              </w:rPr>
              <w:t>4</w:t>
            </w:r>
            <w:r w:rsidRPr="00452DF0">
              <w:rPr>
                <w:b/>
                <w:bCs/>
                <w:sz w:val="20"/>
              </w:rPr>
              <w:t>%</w:t>
            </w:r>
          </w:p>
        </w:tc>
      </w:tr>
      <w:tr w:rsidR="00C11E37" w:rsidRPr="00841596" w:rsidTr="00C5520C">
        <w:tc>
          <w:tcPr>
            <w:tcW w:w="1905" w:type="dxa"/>
            <w:shd w:val="clear" w:color="auto" w:fill="auto"/>
          </w:tcPr>
          <w:p w:rsidR="00C11E37" w:rsidRPr="00841596" w:rsidRDefault="00C11E37" w:rsidP="003A2BEF">
            <w:r w:rsidRPr="00841596">
              <w:t>Südasien</w:t>
            </w:r>
          </w:p>
        </w:tc>
        <w:tc>
          <w:tcPr>
            <w:tcW w:w="2307" w:type="dxa"/>
            <w:shd w:val="clear" w:color="auto" w:fill="auto"/>
          </w:tcPr>
          <w:p w:rsidR="00C11E37" w:rsidRPr="00841596" w:rsidRDefault="00C11E37" w:rsidP="003A2BEF">
            <w:pPr>
              <w:jc w:val="center"/>
              <w:rPr>
                <w:sz w:val="20"/>
              </w:rPr>
            </w:pPr>
            <w:r w:rsidRPr="00841596">
              <w:rPr>
                <w:sz w:val="20"/>
              </w:rPr>
              <w:t>2005:</w:t>
            </w:r>
            <w:r w:rsidRPr="00841596">
              <w:rPr>
                <w:sz w:val="20"/>
              </w:rPr>
              <w:br/>
            </w:r>
            <w:r w:rsidRPr="00452DF0">
              <w:rPr>
                <w:b/>
                <w:bCs/>
                <w:sz w:val="20"/>
              </w:rPr>
              <w:t>3</w:t>
            </w:r>
            <w:r>
              <w:rPr>
                <w:b/>
                <w:bCs/>
                <w:sz w:val="20"/>
              </w:rPr>
              <w:t>28</w:t>
            </w:r>
            <w:r w:rsidRPr="00452DF0">
              <w:rPr>
                <w:b/>
                <w:bCs/>
                <w:sz w:val="20"/>
              </w:rPr>
              <w:t xml:space="preserve"> Mio. = 2</w:t>
            </w:r>
            <w:r>
              <w:rPr>
                <w:b/>
                <w:bCs/>
                <w:sz w:val="20"/>
              </w:rPr>
              <w:t>0,6</w:t>
            </w:r>
            <w:r w:rsidRPr="00452DF0">
              <w:rPr>
                <w:b/>
                <w:bCs/>
                <w:sz w:val="20"/>
              </w:rPr>
              <w:t>%</w:t>
            </w:r>
          </w:p>
        </w:tc>
        <w:tc>
          <w:tcPr>
            <w:tcW w:w="2531" w:type="dxa"/>
            <w:shd w:val="clear" w:color="auto" w:fill="auto"/>
          </w:tcPr>
          <w:p w:rsidR="00C11E37" w:rsidRPr="00841596" w:rsidRDefault="00C11E37" w:rsidP="003A2BEF">
            <w:pPr>
              <w:jc w:val="center"/>
              <w:rPr>
                <w:sz w:val="20"/>
              </w:rPr>
            </w:pPr>
            <w:r w:rsidRPr="00841596">
              <w:rPr>
                <w:sz w:val="20"/>
              </w:rPr>
              <w:t>2014:</w:t>
            </w:r>
            <w:r>
              <w:rPr>
                <w:sz w:val="20"/>
              </w:rPr>
              <w:br/>
            </w:r>
            <w:r w:rsidRPr="00452DF0">
              <w:rPr>
                <w:b/>
                <w:bCs/>
                <w:sz w:val="20"/>
              </w:rPr>
              <w:t>5</w:t>
            </w:r>
            <w:r>
              <w:rPr>
                <w:b/>
                <w:bCs/>
                <w:sz w:val="20"/>
              </w:rPr>
              <w:t>71</w:t>
            </w:r>
            <w:r w:rsidRPr="00452DF0">
              <w:rPr>
                <w:b/>
                <w:bCs/>
                <w:sz w:val="20"/>
              </w:rPr>
              <w:t xml:space="preserve"> Mio. = 3</w:t>
            </w:r>
            <w:r>
              <w:rPr>
                <w:b/>
                <w:bCs/>
                <w:sz w:val="20"/>
              </w:rPr>
              <w:t>1,6</w:t>
            </w:r>
            <w:r w:rsidRPr="00452DF0">
              <w:rPr>
                <w:b/>
                <w:bCs/>
                <w:sz w:val="20"/>
              </w:rPr>
              <w:t>%</w:t>
            </w:r>
          </w:p>
        </w:tc>
        <w:tc>
          <w:tcPr>
            <w:tcW w:w="2324" w:type="dxa"/>
            <w:shd w:val="clear" w:color="auto" w:fill="auto"/>
          </w:tcPr>
          <w:p w:rsidR="00C11E37" w:rsidRPr="00841596" w:rsidRDefault="00C11E37" w:rsidP="003A2BEF">
            <w:pPr>
              <w:jc w:val="center"/>
              <w:rPr>
                <w:sz w:val="20"/>
              </w:rPr>
            </w:pPr>
            <w:r w:rsidRPr="00841596">
              <w:rPr>
                <w:sz w:val="20"/>
              </w:rPr>
              <w:t>2012:</w:t>
            </w:r>
            <w:r>
              <w:rPr>
                <w:sz w:val="20"/>
              </w:rPr>
              <w:br/>
            </w:r>
            <w:r>
              <w:rPr>
                <w:b/>
                <w:bCs/>
                <w:sz w:val="20"/>
              </w:rPr>
              <w:t>50</w:t>
            </w:r>
            <w:r w:rsidRPr="00452DF0">
              <w:rPr>
                <w:b/>
                <w:bCs/>
                <w:sz w:val="20"/>
              </w:rPr>
              <w:t xml:space="preserve"> Mio.= 4,</w:t>
            </w:r>
            <w:r>
              <w:rPr>
                <w:b/>
                <w:bCs/>
                <w:sz w:val="20"/>
              </w:rPr>
              <w:t>5</w:t>
            </w:r>
            <w:r w:rsidRPr="00452DF0">
              <w:rPr>
                <w:b/>
                <w:bCs/>
                <w:sz w:val="20"/>
              </w:rPr>
              <w:t>%</w:t>
            </w:r>
          </w:p>
        </w:tc>
      </w:tr>
      <w:tr w:rsidR="00C11E37" w:rsidRPr="00841596" w:rsidTr="00C5520C">
        <w:tc>
          <w:tcPr>
            <w:tcW w:w="1905" w:type="dxa"/>
            <w:shd w:val="clear" w:color="auto" w:fill="BFD9F2"/>
          </w:tcPr>
          <w:p w:rsidR="00C11E37" w:rsidRPr="00841596" w:rsidRDefault="00C11E37" w:rsidP="003A2BEF">
            <w:r w:rsidRPr="00841596">
              <w:t>Lateinamerika</w:t>
            </w:r>
          </w:p>
        </w:tc>
        <w:tc>
          <w:tcPr>
            <w:tcW w:w="2307" w:type="dxa"/>
            <w:shd w:val="clear" w:color="auto" w:fill="BFD9F2"/>
          </w:tcPr>
          <w:p w:rsidR="00C11E37" w:rsidRPr="00841596" w:rsidRDefault="00C11E37" w:rsidP="003A2BEF">
            <w:pPr>
              <w:jc w:val="center"/>
              <w:rPr>
                <w:sz w:val="20"/>
              </w:rPr>
            </w:pPr>
            <w:r w:rsidRPr="00841596">
              <w:rPr>
                <w:sz w:val="20"/>
              </w:rPr>
              <w:t>201</w:t>
            </w:r>
            <w:r>
              <w:rPr>
                <w:sz w:val="20"/>
              </w:rPr>
              <w:t>9</w:t>
            </w:r>
            <w:r w:rsidRPr="00841596">
              <w:rPr>
                <w:sz w:val="20"/>
              </w:rPr>
              <w:t>:</w:t>
            </w:r>
            <w:r w:rsidRPr="00841596">
              <w:rPr>
                <w:sz w:val="20"/>
              </w:rPr>
              <w:br/>
            </w:r>
            <w:r w:rsidRPr="00452DF0">
              <w:rPr>
                <w:b/>
                <w:bCs/>
                <w:sz w:val="20"/>
              </w:rPr>
              <w:t>4</w:t>
            </w:r>
            <w:r>
              <w:rPr>
                <w:b/>
                <w:bCs/>
                <w:sz w:val="20"/>
              </w:rPr>
              <w:t>8</w:t>
            </w:r>
            <w:r w:rsidRPr="00452DF0">
              <w:rPr>
                <w:b/>
                <w:bCs/>
                <w:sz w:val="20"/>
              </w:rPr>
              <w:t xml:space="preserve"> Mio. = </w:t>
            </w:r>
            <w:r>
              <w:rPr>
                <w:b/>
                <w:bCs/>
                <w:sz w:val="20"/>
              </w:rPr>
              <w:t>7,4</w:t>
            </w:r>
            <w:r w:rsidRPr="00452DF0">
              <w:rPr>
                <w:b/>
                <w:bCs/>
                <w:sz w:val="20"/>
              </w:rPr>
              <w:t>%</w:t>
            </w:r>
          </w:p>
        </w:tc>
        <w:tc>
          <w:tcPr>
            <w:tcW w:w="2531" w:type="dxa"/>
            <w:shd w:val="clear" w:color="auto" w:fill="BFD9F2"/>
          </w:tcPr>
          <w:p w:rsidR="00C11E37" w:rsidRPr="00841596" w:rsidRDefault="00C11E37" w:rsidP="003A2BEF">
            <w:pPr>
              <w:jc w:val="center"/>
              <w:rPr>
                <w:sz w:val="20"/>
              </w:rPr>
            </w:pPr>
            <w:r w:rsidRPr="00841596">
              <w:rPr>
                <w:sz w:val="20"/>
              </w:rPr>
              <w:t>201</w:t>
            </w:r>
            <w:r>
              <w:rPr>
                <w:sz w:val="20"/>
              </w:rPr>
              <w:t>9</w:t>
            </w:r>
            <w:r w:rsidRPr="00841596">
              <w:rPr>
                <w:sz w:val="20"/>
              </w:rPr>
              <w:t>:</w:t>
            </w:r>
            <w:r>
              <w:rPr>
                <w:sz w:val="20"/>
              </w:rPr>
              <w:br/>
            </w:r>
            <w:r>
              <w:rPr>
                <w:b/>
                <w:bCs/>
                <w:sz w:val="20"/>
              </w:rPr>
              <w:t>205</w:t>
            </w:r>
            <w:r w:rsidRPr="00452DF0">
              <w:rPr>
                <w:b/>
                <w:bCs/>
                <w:sz w:val="20"/>
              </w:rPr>
              <w:t xml:space="preserve"> Mio. = 3</w:t>
            </w:r>
            <w:r>
              <w:rPr>
                <w:b/>
                <w:bCs/>
                <w:sz w:val="20"/>
              </w:rPr>
              <w:t>1,7</w:t>
            </w:r>
            <w:r w:rsidRPr="00452DF0">
              <w:rPr>
                <w:b/>
                <w:bCs/>
                <w:sz w:val="20"/>
              </w:rPr>
              <w:t>%</w:t>
            </w:r>
          </w:p>
        </w:tc>
        <w:tc>
          <w:tcPr>
            <w:tcW w:w="2324" w:type="dxa"/>
            <w:shd w:val="clear" w:color="auto" w:fill="BFD9F2"/>
          </w:tcPr>
          <w:p w:rsidR="00C11E37" w:rsidRPr="00841596" w:rsidRDefault="00C11E37" w:rsidP="003A2BEF">
            <w:pPr>
              <w:jc w:val="center"/>
              <w:rPr>
                <w:sz w:val="20"/>
              </w:rPr>
            </w:pPr>
            <w:r w:rsidRPr="00841596">
              <w:rPr>
                <w:sz w:val="20"/>
              </w:rPr>
              <w:t>2016:</w:t>
            </w:r>
            <w:r>
              <w:rPr>
                <w:sz w:val="20"/>
              </w:rPr>
              <w:br/>
            </w:r>
            <w:r w:rsidRPr="00452DF0">
              <w:rPr>
                <w:b/>
                <w:bCs/>
                <w:sz w:val="20"/>
              </w:rPr>
              <w:t>10</w:t>
            </w:r>
            <w:r>
              <w:rPr>
                <w:b/>
                <w:bCs/>
                <w:sz w:val="20"/>
              </w:rPr>
              <w:t>6</w:t>
            </w:r>
            <w:r w:rsidRPr="00452DF0">
              <w:rPr>
                <w:b/>
                <w:bCs/>
                <w:sz w:val="20"/>
              </w:rPr>
              <w:t xml:space="preserve"> Mio. = 24,</w:t>
            </w:r>
            <w:r>
              <w:rPr>
                <w:b/>
                <w:bCs/>
                <w:sz w:val="20"/>
              </w:rPr>
              <w:t>2</w:t>
            </w:r>
            <w:r w:rsidRPr="00452DF0">
              <w:rPr>
                <w:b/>
                <w:bCs/>
                <w:sz w:val="20"/>
              </w:rPr>
              <w:t>%</w:t>
            </w:r>
          </w:p>
        </w:tc>
      </w:tr>
      <w:tr w:rsidR="00C11E37" w:rsidRPr="00841596" w:rsidTr="00C5520C">
        <w:tc>
          <w:tcPr>
            <w:tcW w:w="1905" w:type="dxa"/>
            <w:shd w:val="clear" w:color="auto" w:fill="auto"/>
          </w:tcPr>
          <w:p w:rsidR="00C11E37" w:rsidRPr="00841596" w:rsidRDefault="00C11E37" w:rsidP="003A2BEF">
            <w:r w:rsidRPr="00841596">
              <w:t>Lateinamerika</w:t>
            </w:r>
          </w:p>
        </w:tc>
        <w:tc>
          <w:tcPr>
            <w:tcW w:w="2307" w:type="dxa"/>
            <w:shd w:val="clear" w:color="auto" w:fill="auto"/>
          </w:tcPr>
          <w:p w:rsidR="00C11E37" w:rsidRPr="00841596" w:rsidRDefault="00C11E37" w:rsidP="003A2BEF">
            <w:pPr>
              <w:jc w:val="center"/>
              <w:rPr>
                <w:sz w:val="20"/>
              </w:rPr>
            </w:pPr>
            <w:r w:rsidRPr="00841596">
              <w:rPr>
                <w:sz w:val="20"/>
              </w:rPr>
              <w:t>2005:</w:t>
            </w:r>
            <w:r w:rsidRPr="00841596">
              <w:rPr>
                <w:sz w:val="20"/>
              </w:rPr>
              <w:br/>
            </w:r>
            <w:r>
              <w:rPr>
                <w:b/>
                <w:bCs/>
                <w:sz w:val="20"/>
              </w:rPr>
              <w:t>49</w:t>
            </w:r>
            <w:r w:rsidRPr="00452DF0">
              <w:rPr>
                <w:b/>
                <w:bCs/>
                <w:sz w:val="20"/>
              </w:rPr>
              <w:t xml:space="preserve"> Mio. = </w:t>
            </w:r>
            <w:r>
              <w:rPr>
                <w:b/>
                <w:bCs/>
                <w:sz w:val="20"/>
              </w:rPr>
              <w:t>8,7</w:t>
            </w:r>
            <w:r w:rsidRPr="00452DF0">
              <w:rPr>
                <w:b/>
                <w:bCs/>
                <w:sz w:val="20"/>
              </w:rPr>
              <w:t>%</w:t>
            </w:r>
          </w:p>
        </w:tc>
        <w:tc>
          <w:tcPr>
            <w:tcW w:w="2531" w:type="dxa"/>
            <w:shd w:val="clear" w:color="auto" w:fill="auto"/>
          </w:tcPr>
          <w:p w:rsidR="00C11E37" w:rsidRPr="00841596" w:rsidRDefault="00C11E37" w:rsidP="003A2BEF">
            <w:pPr>
              <w:jc w:val="center"/>
              <w:rPr>
                <w:sz w:val="20"/>
              </w:rPr>
            </w:pPr>
            <w:r w:rsidRPr="00841596">
              <w:rPr>
                <w:sz w:val="20"/>
              </w:rPr>
              <w:t>2014:</w:t>
            </w:r>
            <w:r>
              <w:rPr>
                <w:sz w:val="20"/>
              </w:rPr>
              <w:br/>
            </w:r>
            <w:r>
              <w:rPr>
                <w:b/>
                <w:bCs/>
                <w:sz w:val="20"/>
              </w:rPr>
              <w:t>142</w:t>
            </w:r>
            <w:r w:rsidRPr="00452DF0">
              <w:rPr>
                <w:b/>
                <w:bCs/>
                <w:sz w:val="20"/>
              </w:rPr>
              <w:t xml:space="preserve"> Mio. = </w:t>
            </w:r>
            <w:r>
              <w:rPr>
                <w:b/>
                <w:bCs/>
                <w:sz w:val="20"/>
              </w:rPr>
              <w:t>22,9</w:t>
            </w:r>
            <w:r w:rsidRPr="00452DF0">
              <w:rPr>
                <w:b/>
                <w:bCs/>
                <w:sz w:val="20"/>
              </w:rPr>
              <w:t>%</w:t>
            </w:r>
          </w:p>
        </w:tc>
        <w:tc>
          <w:tcPr>
            <w:tcW w:w="2324" w:type="dxa"/>
            <w:shd w:val="clear" w:color="auto" w:fill="auto"/>
          </w:tcPr>
          <w:p w:rsidR="00C11E37" w:rsidRPr="00841596" w:rsidRDefault="00C11E37" w:rsidP="003A2BEF">
            <w:pPr>
              <w:jc w:val="center"/>
              <w:rPr>
                <w:sz w:val="20"/>
              </w:rPr>
            </w:pPr>
            <w:r w:rsidRPr="00841596">
              <w:rPr>
                <w:sz w:val="20"/>
              </w:rPr>
              <w:t>2012:</w:t>
            </w:r>
            <w:r>
              <w:rPr>
                <w:sz w:val="20"/>
              </w:rPr>
              <w:br/>
            </w:r>
            <w:r>
              <w:rPr>
                <w:b/>
                <w:bCs/>
                <w:sz w:val="20"/>
              </w:rPr>
              <w:t>91</w:t>
            </w:r>
            <w:r w:rsidRPr="00452DF0">
              <w:rPr>
                <w:b/>
                <w:bCs/>
                <w:sz w:val="20"/>
              </w:rPr>
              <w:t xml:space="preserve"> Mio. = 2</w:t>
            </w:r>
            <w:r>
              <w:rPr>
                <w:b/>
                <w:bCs/>
                <w:sz w:val="20"/>
              </w:rPr>
              <w:t>2,2</w:t>
            </w:r>
            <w:r w:rsidRPr="00452DF0">
              <w:rPr>
                <w:b/>
                <w:bCs/>
                <w:sz w:val="20"/>
              </w:rPr>
              <w:t>%</w:t>
            </w:r>
          </w:p>
        </w:tc>
      </w:tr>
      <w:tr w:rsidR="00C11E37" w:rsidRPr="00841596" w:rsidTr="00C5520C">
        <w:tc>
          <w:tcPr>
            <w:tcW w:w="9067" w:type="dxa"/>
            <w:gridSpan w:val="4"/>
            <w:shd w:val="clear" w:color="auto" w:fill="BFD9F2"/>
            <w:tcMar>
              <w:top w:w="0" w:type="dxa"/>
              <w:left w:w="0" w:type="dxa"/>
              <w:bottom w:w="0" w:type="dxa"/>
            </w:tcMar>
          </w:tcPr>
          <w:p w:rsidR="00C11E37" w:rsidRPr="00841596" w:rsidRDefault="00C11E37" w:rsidP="00C5520C">
            <w:pPr>
              <w:pStyle w:val="Quelle"/>
            </w:pPr>
            <w:r w:rsidRPr="00841596">
              <w:t xml:space="preserve">Quelle: FAO – State </w:t>
            </w:r>
            <w:proofErr w:type="spellStart"/>
            <w:r w:rsidRPr="00841596">
              <w:t>of</w:t>
            </w:r>
            <w:proofErr w:type="spellEnd"/>
            <w:r w:rsidRPr="00841596">
              <w:t xml:space="preserve"> Food </w:t>
            </w:r>
            <w:r>
              <w:t>S</w:t>
            </w:r>
            <w:r w:rsidRPr="00841596">
              <w:t xml:space="preserve">ecurity </w:t>
            </w:r>
            <w:proofErr w:type="spellStart"/>
            <w:r w:rsidRPr="00841596">
              <w:t>and</w:t>
            </w:r>
            <w:proofErr w:type="spellEnd"/>
            <w:r w:rsidRPr="00841596">
              <w:t xml:space="preserve"> Nutrition in </w:t>
            </w:r>
            <w:proofErr w:type="spellStart"/>
            <w:r w:rsidRPr="00841596">
              <w:t>the</w:t>
            </w:r>
            <w:proofErr w:type="spellEnd"/>
            <w:r w:rsidRPr="00841596">
              <w:t xml:space="preserve"> World, 20</w:t>
            </w:r>
            <w:r>
              <w:t>20</w:t>
            </w:r>
          </w:p>
        </w:tc>
      </w:tr>
    </w:tbl>
    <w:p w:rsidR="00C11E37" w:rsidRDefault="002D329F" w:rsidP="00C11E37">
      <w:pPr>
        <w:pStyle w:val="Textkrper"/>
        <w:rPr>
          <w:sz w:val="20"/>
        </w:rPr>
      </w:pPr>
      <w:r>
        <w:rPr>
          <w:b/>
          <w:bCs/>
          <w:sz w:val="20"/>
        </w:rPr>
        <w:t>*</w:t>
      </w:r>
      <w:r w:rsidR="004D026E">
        <w:rPr>
          <w:b/>
          <w:bCs/>
          <w:sz w:val="20"/>
        </w:rPr>
        <w:t xml:space="preserve"> </w:t>
      </w:r>
      <w:r w:rsidRPr="00707B91">
        <w:rPr>
          <w:b/>
          <w:bCs/>
          <w:sz w:val="20"/>
        </w:rPr>
        <w:t xml:space="preserve">Ernährungssicherheit = </w:t>
      </w:r>
      <w:r w:rsidRPr="00707B91">
        <w:rPr>
          <w:sz w:val="20"/>
        </w:rPr>
        <w:t xml:space="preserve">Sicherer und beständiger </w:t>
      </w:r>
      <w:r>
        <w:rPr>
          <w:sz w:val="20"/>
        </w:rPr>
        <w:t xml:space="preserve">und bezahlbarer </w:t>
      </w:r>
      <w:r w:rsidRPr="00707B91">
        <w:rPr>
          <w:sz w:val="20"/>
        </w:rPr>
        <w:t>Zugang zu quantitativ und qualitativ ausreichender Nahrung.</w:t>
      </w:r>
      <w:r>
        <w:rPr>
          <w:sz w:val="20"/>
        </w:rPr>
        <w:t xml:space="preserve"> Dies ist eine neue Kategorie der FAO. </w:t>
      </w:r>
      <w:r>
        <w:rPr>
          <w:sz w:val="20"/>
        </w:rPr>
        <w:br/>
        <w:t>Zusammengefasst sind hier Daten für „schwere“ und „moderate“ Ernährungsunsicherheit.</w:t>
      </w:r>
      <w:r w:rsidRPr="00707B91">
        <w:rPr>
          <w:sz w:val="20"/>
        </w:rPr>
        <w:t xml:space="preserve"> </w:t>
      </w:r>
      <w:r>
        <w:rPr>
          <w:sz w:val="20"/>
        </w:rPr>
        <w:br/>
      </w:r>
      <w:r w:rsidRPr="00707B91">
        <w:rPr>
          <w:b/>
          <w:bCs/>
          <w:sz w:val="20"/>
        </w:rPr>
        <w:t xml:space="preserve">Adipositas = </w:t>
      </w:r>
      <w:r w:rsidRPr="00707B91">
        <w:rPr>
          <w:sz w:val="20"/>
        </w:rPr>
        <w:t xml:space="preserve">gravierendes Übergewicht mit </w:t>
      </w:r>
      <w:proofErr w:type="spellStart"/>
      <w:r w:rsidRPr="00707B91">
        <w:rPr>
          <w:sz w:val="20"/>
        </w:rPr>
        <w:t>BMI</w:t>
      </w:r>
      <w:proofErr w:type="spellEnd"/>
      <w:r w:rsidRPr="00707B91">
        <w:rPr>
          <w:sz w:val="20"/>
        </w:rPr>
        <w:t xml:space="preserve"> ≥ 30</w:t>
      </w:r>
    </w:p>
    <w:p w:rsidR="002D329F" w:rsidRDefault="002D329F" w:rsidP="000552C3">
      <w:pPr>
        <w:pStyle w:val="Head2blau"/>
      </w:pPr>
      <w:r w:rsidRPr="002D329F">
        <w:lastRenderedPageBreak/>
        <w:t>Vorschläge für den Unterricht:</w:t>
      </w:r>
    </w:p>
    <w:p w:rsidR="002D329F" w:rsidRDefault="002D329F" w:rsidP="00194288">
      <w:pPr>
        <w:pStyle w:val="Liste1"/>
        <w:keepNext/>
        <w:keepLines/>
        <w:ind w:left="357" w:hanging="357"/>
      </w:pPr>
      <w:r>
        <w:t xml:space="preserve">Stellen Sie die verschiedenen Dimensionen der Fehlernährung den </w:t>
      </w:r>
      <w:proofErr w:type="spellStart"/>
      <w:r>
        <w:t>SuS</w:t>
      </w:r>
      <w:proofErr w:type="spellEnd"/>
      <w:r>
        <w:t xml:space="preserve"> im Klassengespräch vor.</w:t>
      </w:r>
    </w:p>
    <w:p w:rsidR="002D329F" w:rsidRDefault="002D329F" w:rsidP="002D329F">
      <w:pPr>
        <w:pStyle w:val="Liste1"/>
      </w:pPr>
      <w:r>
        <w:t>Wie sieht es konkret aus, wenn Menschen hungern, wenn keine Ernährungssicherheit besteht? Die FAO hat hierzu Kriterien (Fragen) entwickelt, anhand derer das Ausmaß der Ernährungssicherheit erfasst werden soll (</w:t>
      </w:r>
      <w:r w:rsidRPr="002D329F">
        <w:rPr>
          <w:rStyle w:val="Material-Nr"/>
        </w:rPr>
        <w:t>M-5-1</w:t>
      </w:r>
      <w:r>
        <w:t>).</w:t>
      </w:r>
    </w:p>
    <w:p w:rsidR="002D329F" w:rsidRDefault="002D329F" w:rsidP="002D329F">
      <w:pPr>
        <w:pStyle w:val="Liste1"/>
      </w:pPr>
      <w:r>
        <w:t>Wie kann die Ernährungslage in den einzelnen Ländern erfasst und bewertet werden? Dazu machen wir hier drei Vorschläge:</w:t>
      </w:r>
    </w:p>
    <w:p w:rsidR="002D329F" w:rsidRDefault="002D329F" w:rsidP="00BF5221">
      <w:pPr>
        <w:pStyle w:val="Textkrper"/>
        <w:ind w:left="360"/>
      </w:pPr>
      <w:r w:rsidRPr="002D329F">
        <w:rPr>
          <w:rStyle w:val="Fett"/>
        </w:rPr>
        <w:t>A</w:t>
      </w:r>
      <w:r>
        <w:t xml:space="preserve"> (einfache Variante): Kennziffern zu Hunger, Mangelernährung und Adipositas werden FAO-Statistiken entnommen und in ein Arbeitsblatt eingetragen. Das Arbeitsblatt </w:t>
      </w:r>
      <w:r w:rsidRPr="0055329C">
        <w:rPr>
          <w:rStyle w:val="Material-Nr"/>
        </w:rPr>
        <w:t>M-5-2</w:t>
      </w:r>
      <w:r>
        <w:t xml:space="preserve"> zeigt, wo statistische Daten zur Ernährungslage zu finden sind. Im Klassengespräch kann dann ein Vergleich der Ernährungslagen in verschiedenen Ländern versucht werden. Hier wird vielleicht der Unterschied zwischen einer hohen Zahl von Fehlernährten einerseits und einem hohen Anteil an Fehlernährten an der Gesamtbevölkerung andererseits erkennbar. Vielleicht macht es Sinn, dass die </w:t>
      </w:r>
      <w:proofErr w:type="spellStart"/>
      <w:r>
        <w:t>SuS</w:t>
      </w:r>
      <w:proofErr w:type="spellEnd"/>
      <w:r>
        <w:t xml:space="preserve"> diese Statistik-Daten zu Hause recherchieren. Allerdings eignen sich nicht alle Länder für eine solche Recherche, weil für etliche Länder nur unvollständige FAO-Daten vorliegen. Stellen Sie also vorher eine Liste mit Ländern zusammen, zu denen die statistischen Angaben (im jeweiligen </w:t>
      </w:r>
      <w:proofErr w:type="spellStart"/>
      <w:r>
        <w:t>SOFI</w:t>
      </w:r>
      <w:proofErr w:type="spellEnd"/>
      <w:r>
        <w:t xml:space="preserve"> – siehe </w:t>
      </w:r>
      <w:r w:rsidRPr="007E78B2">
        <w:rPr>
          <w:rStyle w:val="TextkrperZchn"/>
        </w:rPr>
        <w:t>M</w:t>
      </w:r>
      <w:r w:rsidR="007E78B2" w:rsidRPr="007E78B2">
        <w:rPr>
          <w:rStyle w:val="TextkrperZchn"/>
        </w:rPr>
        <w:t>-</w:t>
      </w:r>
      <w:r w:rsidRPr="007E78B2">
        <w:rPr>
          <w:rStyle w:val="TextkrperZchn"/>
        </w:rPr>
        <w:t>5-2</w:t>
      </w:r>
      <w:r>
        <w:t>) vorliegen.</w:t>
      </w:r>
    </w:p>
    <w:p w:rsidR="002D329F" w:rsidRDefault="002D329F" w:rsidP="00BF5221">
      <w:pPr>
        <w:pStyle w:val="Textkrper"/>
        <w:ind w:left="360"/>
      </w:pPr>
      <w:r w:rsidRPr="002D329F">
        <w:rPr>
          <w:rStyle w:val="Fett"/>
        </w:rPr>
        <w:t>B</w:t>
      </w:r>
      <w:r>
        <w:t xml:space="preserve"> (mittlere Anforderung): In drei zu vergebenen Kurzreferaten wird die Ernährungslage in Brasilien, Indien und Südafrika dargestellt und erläutert. Als Material kann das jeweilige </w:t>
      </w:r>
      <w:proofErr w:type="spellStart"/>
      <w:r>
        <w:t>Factsheet</w:t>
      </w:r>
      <w:proofErr w:type="spellEnd"/>
      <w:r>
        <w:t xml:space="preserve"> (siehe </w:t>
      </w:r>
      <w:r w:rsidRPr="0055329C">
        <w:rPr>
          <w:rStyle w:val="Material-Nr"/>
        </w:rPr>
        <w:t>M-5-3</w:t>
      </w:r>
      <w:r>
        <w:t xml:space="preserve">, </w:t>
      </w:r>
      <w:r w:rsidRPr="0055329C">
        <w:rPr>
          <w:rStyle w:val="Material-Nr"/>
        </w:rPr>
        <w:t>M-5-4</w:t>
      </w:r>
      <w:r>
        <w:t xml:space="preserve"> und </w:t>
      </w:r>
      <w:r w:rsidRPr="0055329C">
        <w:rPr>
          <w:rStyle w:val="Material-Nr"/>
        </w:rPr>
        <w:t>M-5-5</w:t>
      </w:r>
      <w:r>
        <w:t xml:space="preserve">) herangezogen werden. Außerdem gibt es einige Hinweise auf Links im Arbeitsblatt </w:t>
      </w:r>
      <w:r w:rsidRPr="0055329C">
        <w:rPr>
          <w:rStyle w:val="Material-Nr"/>
        </w:rPr>
        <w:t>M-5-6</w:t>
      </w:r>
      <w:r>
        <w:t>.</w:t>
      </w:r>
    </w:p>
    <w:p w:rsidR="002D329F" w:rsidRDefault="002D329F" w:rsidP="00BF5221">
      <w:pPr>
        <w:pStyle w:val="Textkrper"/>
        <w:ind w:left="360"/>
      </w:pPr>
      <w:r w:rsidRPr="002D329F">
        <w:rPr>
          <w:rStyle w:val="Fett"/>
        </w:rPr>
        <w:t>C</w:t>
      </w:r>
      <w:r>
        <w:t xml:space="preserve"> (anspruchsvollere Variante): </w:t>
      </w:r>
      <w:proofErr w:type="spellStart"/>
      <w:r>
        <w:t>SuS-Kleingruppen</w:t>
      </w:r>
      <w:proofErr w:type="spellEnd"/>
      <w:r>
        <w:t xml:space="preserve"> recherchieren eigenständig, wie es mit der Ernährung in einem bestimmten Land ihrer Wahl bestellt ist. Wichtig ist hier, dass auch die Fundstellen im Internet notiert werden, damit die Quellen entsprechend bewertet werden können.</w:t>
      </w:r>
    </w:p>
    <w:p w:rsidR="002D329F" w:rsidRDefault="002D329F" w:rsidP="002D329F">
      <w:pPr>
        <w:pStyle w:val="Liste1"/>
      </w:pPr>
      <w:r>
        <w:t>Abschließend geht es im Klassengespräch stets darum, die Ernährungslagen in verschiedenen Ländern anhand der recherchierten Ergebnisse darzustellen und zu vergleichen, Unterschiede und Gemeinsamkeiten festzuhalten, eventuell Schlussfolgerungen zu formulieren, was in den einzelnen Ländern getan werden muss, um Fehlernährung abzubauen und die Ernährungslage zu verbessern.</w:t>
      </w:r>
    </w:p>
    <w:p w:rsidR="0055329C" w:rsidRDefault="0055329C" w:rsidP="0055329C">
      <w:pPr>
        <w:pStyle w:val="Textkrper"/>
      </w:pPr>
    </w:p>
    <w:p w:rsidR="0055329C" w:rsidRDefault="005E0E83" w:rsidP="0055329C">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7E78B2" w:rsidRPr="000032FB" w:rsidRDefault="007E78B2" w:rsidP="007E78B2">
      <w:pPr>
        <w:pStyle w:val="AB-Nr"/>
      </w:pPr>
      <w:r w:rsidRPr="000032FB">
        <w:lastRenderedPageBreak/>
        <w:t>M</w:t>
      </w:r>
      <w:r w:rsidRPr="007E78B2">
        <w:rPr>
          <w:rStyle w:val="AB-NrZchn"/>
        </w:rPr>
        <w:t>-</w:t>
      </w:r>
      <w:r>
        <w:t>5-1</w:t>
      </w:r>
    </w:p>
    <w:p w:rsidR="007E78B2" w:rsidRDefault="007E78B2" w:rsidP="007E78B2">
      <w:pPr>
        <w:jc w:val="center"/>
        <w:rPr>
          <w:rStyle w:val="ABHead1Zchn"/>
        </w:rPr>
      </w:pPr>
      <w:r w:rsidRPr="007E78B2">
        <w:rPr>
          <w:rStyle w:val="ABHead1Zchn"/>
        </w:rPr>
        <w:t>Was</w:t>
      </w:r>
      <w:r w:rsidRPr="00C5157B">
        <w:rPr>
          <w:b/>
          <w:bCs/>
          <w:color w:val="C00000"/>
          <w:sz w:val="36"/>
          <w:szCs w:val="36"/>
        </w:rPr>
        <w:t xml:space="preserve"> </w:t>
      </w:r>
      <w:r w:rsidRPr="007E78B2">
        <w:rPr>
          <w:rStyle w:val="ABHead1Zchn"/>
        </w:rPr>
        <w:t>Ernährungsunsicherheit bedeutet</w:t>
      </w:r>
    </w:p>
    <w:p w:rsidR="007E78B2" w:rsidRDefault="007E78B2" w:rsidP="002976F9">
      <w:pPr>
        <w:pStyle w:val="Fuzeile"/>
        <w:spacing w:before="120"/>
      </w:pPr>
    </w:p>
    <w:tbl>
      <w:tblPr>
        <w:tblStyle w:val="Tabellenraster"/>
        <w:tblW w:w="0" w:type="auto"/>
        <w:tblCellMar>
          <w:left w:w="0" w:type="dxa"/>
          <w:right w:w="0" w:type="dxa"/>
        </w:tblCellMar>
        <w:tblLook w:val="04A0" w:firstRow="1" w:lastRow="0" w:firstColumn="1" w:lastColumn="0" w:noHBand="0" w:noVBand="1"/>
      </w:tblPr>
      <w:tblGrid>
        <w:gridCol w:w="9638"/>
      </w:tblGrid>
      <w:tr w:rsidR="007E78B2" w:rsidTr="00FE4C9C">
        <w:tc>
          <w:tcPr>
            <w:tcW w:w="9638" w:type="dxa"/>
            <w:tcBorders>
              <w:top w:val="nil"/>
              <w:left w:val="nil"/>
              <w:bottom w:val="nil"/>
              <w:right w:val="nil"/>
            </w:tcBorders>
            <w:tcMar>
              <w:left w:w="0" w:type="dxa"/>
              <w:right w:w="0" w:type="dxa"/>
            </w:tcMar>
          </w:tcPr>
          <w:p w:rsidR="007E78B2" w:rsidRDefault="007E78B2" w:rsidP="002C7DB1">
            <w:pPr>
              <w:jc w:val="center"/>
              <w:rPr>
                <w:b/>
                <w:bCs/>
                <w:color w:val="000000" w:themeColor="text1"/>
                <w:sz w:val="18"/>
                <w:szCs w:val="18"/>
              </w:rPr>
            </w:pPr>
            <w:r>
              <w:rPr>
                <w:noProof/>
                <w:lang w:eastAsia="de-DE"/>
              </w:rPr>
              <w:drawing>
                <wp:inline distT="0" distB="0" distL="0" distR="0" wp14:anchorId="291539AF" wp14:editId="2E52B23C">
                  <wp:extent cx="6479540" cy="33147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057" b="19213"/>
                          <a:stretch/>
                        </pic:blipFill>
                        <pic:spPr bwMode="auto">
                          <a:xfrm>
                            <a:off x="0" y="0"/>
                            <a:ext cx="6479540" cy="3314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78B2" w:rsidTr="002976F9">
        <w:tc>
          <w:tcPr>
            <w:tcW w:w="9638" w:type="dxa"/>
            <w:tcBorders>
              <w:top w:val="nil"/>
              <w:left w:val="nil"/>
              <w:bottom w:val="nil"/>
              <w:right w:val="nil"/>
            </w:tcBorders>
            <w:tcMar>
              <w:top w:w="85" w:type="dxa"/>
              <w:left w:w="0" w:type="dxa"/>
              <w:bottom w:w="113" w:type="dxa"/>
              <w:right w:w="0" w:type="dxa"/>
            </w:tcMar>
          </w:tcPr>
          <w:p w:rsidR="007E78B2" w:rsidRPr="007E78B2" w:rsidRDefault="007E78B2" w:rsidP="00131F16">
            <w:pPr>
              <w:pStyle w:val="Fotonachweisfett"/>
            </w:pPr>
            <w:r w:rsidRPr="00785BD9">
              <w:t>Foto: U</w:t>
            </w:r>
            <w:r>
              <w:t xml:space="preserve">N </w:t>
            </w:r>
            <w:proofErr w:type="spellStart"/>
            <w:r>
              <w:t>MultiMedia</w:t>
            </w:r>
            <w:proofErr w:type="spellEnd"/>
          </w:p>
        </w:tc>
      </w:tr>
      <w:tr w:rsidR="007E78B2" w:rsidTr="00FE4C9C">
        <w:tc>
          <w:tcPr>
            <w:tcW w:w="9638" w:type="dxa"/>
            <w:tcBorders>
              <w:top w:val="nil"/>
              <w:left w:val="nil"/>
              <w:bottom w:val="nil"/>
              <w:right w:val="nil"/>
            </w:tcBorders>
            <w:tcMar>
              <w:left w:w="0" w:type="dxa"/>
              <w:right w:w="0" w:type="dxa"/>
            </w:tcMa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057"/>
              <w:gridCol w:w="2465"/>
              <w:gridCol w:w="2560"/>
            </w:tblGrid>
            <w:tr w:rsidR="007E78B2" w:rsidTr="007E78B2">
              <w:tc>
                <w:tcPr>
                  <w:tcW w:w="2643" w:type="dxa"/>
                  <w:tcBorders>
                    <w:top w:val="single" w:sz="4" w:space="0" w:color="auto"/>
                    <w:left w:val="single" w:sz="4" w:space="0" w:color="auto"/>
                    <w:bottom w:val="single" w:sz="4" w:space="0" w:color="auto"/>
                    <w:right w:val="single" w:sz="4" w:space="0" w:color="auto"/>
                  </w:tcBorders>
                </w:tcPr>
                <w:p w:rsidR="007E78B2" w:rsidRPr="007E78B2" w:rsidRDefault="007E78B2" w:rsidP="007E78B2">
                  <w:pPr>
                    <w:jc w:val="center"/>
                    <w:rPr>
                      <w:color w:val="000000" w:themeColor="text1"/>
                      <w:sz w:val="20"/>
                      <w:szCs w:val="20"/>
                    </w:rPr>
                  </w:pPr>
                  <w:r w:rsidRPr="007E78B2">
                    <w:rPr>
                      <w:b/>
                      <w:bCs/>
                      <w:color w:val="000000" w:themeColor="text1"/>
                      <w:sz w:val="20"/>
                      <w:szCs w:val="20"/>
                    </w:rPr>
                    <w:t>Unsicherheit, ob die Versorgung mit Nahrung gelingt</w:t>
                  </w:r>
                </w:p>
              </w:tc>
              <w:tc>
                <w:tcPr>
                  <w:tcW w:w="2126" w:type="dxa"/>
                  <w:tcBorders>
                    <w:top w:val="single" w:sz="4" w:space="0" w:color="auto"/>
                    <w:left w:val="single" w:sz="4" w:space="0" w:color="auto"/>
                    <w:bottom w:val="single" w:sz="4" w:space="0" w:color="auto"/>
                    <w:right w:val="single" w:sz="4" w:space="0" w:color="auto"/>
                  </w:tcBorders>
                </w:tcPr>
                <w:p w:rsidR="007E78B2" w:rsidRPr="007E78B2" w:rsidRDefault="007E78B2" w:rsidP="002C7DB1">
                  <w:pPr>
                    <w:jc w:val="center"/>
                    <w:rPr>
                      <w:b/>
                      <w:bCs/>
                      <w:color w:val="000000" w:themeColor="text1"/>
                      <w:sz w:val="20"/>
                      <w:szCs w:val="20"/>
                    </w:rPr>
                  </w:pPr>
                  <w:r w:rsidRPr="007E78B2">
                    <w:rPr>
                      <w:b/>
                      <w:bCs/>
                      <w:color w:val="000000" w:themeColor="text1"/>
                      <w:sz w:val="20"/>
                      <w:szCs w:val="20"/>
                    </w:rPr>
                    <w:t>Kompromisse bei Qualität und Vielfalt der Nahrung</w:t>
                  </w:r>
                </w:p>
              </w:tc>
              <w:tc>
                <w:tcPr>
                  <w:tcW w:w="2549" w:type="dxa"/>
                  <w:tcBorders>
                    <w:top w:val="single" w:sz="4" w:space="0" w:color="auto"/>
                    <w:left w:val="single" w:sz="4" w:space="0" w:color="auto"/>
                    <w:bottom w:val="single" w:sz="4" w:space="0" w:color="auto"/>
                    <w:right w:val="single" w:sz="4" w:space="0" w:color="auto"/>
                  </w:tcBorders>
                </w:tcPr>
                <w:p w:rsidR="007E78B2" w:rsidRPr="007E78B2" w:rsidRDefault="007E78B2" w:rsidP="002C7DB1">
                  <w:pPr>
                    <w:jc w:val="center"/>
                    <w:rPr>
                      <w:b/>
                      <w:bCs/>
                      <w:color w:val="000000" w:themeColor="text1"/>
                      <w:sz w:val="20"/>
                      <w:szCs w:val="20"/>
                    </w:rPr>
                  </w:pPr>
                  <w:r w:rsidRPr="007E78B2">
                    <w:rPr>
                      <w:b/>
                      <w:bCs/>
                      <w:color w:val="000000" w:themeColor="text1"/>
                      <w:sz w:val="20"/>
                      <w:szCs w:val="20"/>
                    </w:rPr>
                    <w:t>Reduzierung der Menge der Nahrung und Ausfall einzelner Mahlzeiten</w:t>
                  </w:r>
                </w:p>
              </w:tc>
              <w:tc>
                <w:tcPr>
                  <w:tcW w:w="2643" w:type="dxa"/>
                  <w:tcBorders>
                    <w:top w:val="single" w:sz="4" w:space="0" w:color="auto"/>
                    <w:left w:val="single" w:sz="4" w:space="0" w:color="auto"/>
                    <w:bottom w:val="single" w:sz="4" w:space="0" w:color="auto"/>
                    <w:right w:val="single" w:sz="4" w:space="0" w:color="auto"/>
                  </w:tcBorders>
                </w:tcPr>
                <w:p w:rsidR="007E78B2" w:rsidRPr="007E78B2" w:rsidRDefault="007E78B2" w:rsidP="007E78B2">
                  <w:pPr>
                    <w:jc w:val="center"/>
                    <w:rPr>
                      <w:b/>
                      <w:bCs/>
                      <w:color w:val="000000" w:themeColor="text1"/>
                      <w:sz w:val="20"/>
                      <w:szCs w:val="20"/>
                    </w:rPr>
                  </w:pPr>
                  <w:r w:rsidRPr="007E78B2">
                    <w:rPr>
                      <w:b/>
                      <w:bCs/>
                      <w:color w:val="000000" w:themeColor="text1"/>
                      <w:sz w:val="20"/>
                      <w:szCs w:val="20"/>
                    </w:rPr>
                    <w:t>Einen T</w:t>
                  </w:r>
                  <w:r>
                    <w:rPr>
                      <w:b/>
                      <w:bCs/>
                      <w:color w:val="000000" w:themeColor="text1"/>
                      <w:sz w:val="20"/>
                      <w:szCs w:val="20"/>
                    </w:rPr>
                    <w:t>ag lang oder mehr keine Nahrung</w:t>
                  </w:r>
                </w:p>
                <w:p w:rsidR="007E78B2" w:rsidRPr="007E78B2" w:rsidRDefault="007E78B2" w:rsidP="002C7DB1">
                  <w:pPr>
                    <w:jc w:val="center"/>
                    <w:rPr>
                      <w:color w:val="000000" w:themeColor="text1"/>
                      <w:sz w:val="20"/>
                      <w:szCs w:val="20"/>
                    </w:rPr>
                  </w:pPr>
                </w:p>
              </w:tc>
            </w:tr>
            <w:tr w:rsidR="00F337BA" w:rsidTr="004D026E">
              <w:tc>
                <w:tcPr>
                  <w:tcW w:w="7318" w:type="dxa"/>
                  <w:gridSpan w:val="3"/>
                  <w:tcBorders>
                    <w:top w:val="single" w:sz="4" w:space="0" w:color="auto"/>
                    <w:left w:val="single" w:sz="4" w:space="0" w:color="auto"/>
                    <w:bottom w:val="single" w:sz="4" w:space="0" w:color="auto"/>
                    <w:right w:val="single" w:sz="4" w:space="0" w:color="auto"/>
                  </w:tcBorders>
                  <w:shd w:val="clear" w:color="auto" w:fill="BFD9F2"/>
                  <w:tcMar>
                    <w:top w:w="170" w:type="dxa"/>
                    <w:bottom w:w="170" w:type="dxa"/>
                  </w:tcMar>
                  <w:vAlign w:val="center"/>
                </w:tcPr>
                <w:p w:rsidR="007E78B2" w:rsidRPr="007E78B2" w:rsidRDefault="007E78B2" w:rsidP="007E78B2">
                  <w:pPr>
                    <w:jc w:val="center"/>
                    <w:rPr>
                      <w:color w:val="000000" w:themeColor="text1"/>
                      <w:sz w:val="20"/>
                      <w:szCs w:val="20"/>
                    </w:rPr>
                  </w:pPr>
                  <w:r w:rsidRPr="007E78B2">
                    <w:rPr>
                      <w:b/>
                      <w:bCs/>
                      <w:color w:val="C00000"/>
                      <w:sz w:val="20"/>
                      <w:szCs w:val="20"/>
                    </w:rPr>
                    <w:t xml:space="preserve">moderate Form </w:t>
                  </w:r>
                  <w:r>
                    <w:rPr>
                      <w:b/>
                      <w:bCs/>
                      <w:color w:val="C00000"/>
                      <w:sz w:val="20"/>
                      <w:szCs w:val="20"/>
                    </w:rPr>
                    <w:br/>
                  </w:r>
                  <w:r w:rsidRPr="007E78B2">
                    <w:rPr>
                      <w:b/>
                      <w:bCs/>
                      <w:color w:val="C00000"/>
                      <w:sz w:val="20"/>
                      <w:szCs w:val="20"/>
                    </w:rPr>
                    <w:t>der Ernährungsunsicherheit</w:t>
                  </w:r>
                </w:p>
              </w:tc>
              <w:tc>
                <w:tcPr>
                  <w:tcW w:w="2643" w:type="dxa"/>
                  <w:tcBorders>
                    <w:top w:val="single" w:sz="4" w:space="0" w:color="auto"/>
                    <w:left w:val="single" w:sz="4" w:space="0" w:color="auto"/>
                    <w:bottom w:val="single" w:sz="4" w:space="0" w:color="auto"/>
                    <w:right w:val="single" w:sz="4" w:space="0" w:color="auto"/>
                  </w:tcBorders>
                  <w:shd w:val="clear" w:color="auto" w:fill="BFD9F2"/>
                  <w:tcMar>
                    <w:top w:w="170" w:type="dxa"/>
                    <w:bottom w:w="170" w:type="dxa"/>
                  </w:tcMar>
                  <w:vAlign w:val="center"/>
                </w:tcPr>
                <w:p w:rsidR="007E78B2" w:rsidRPr="007E78B2" w:rsidRDefault="007E78B2" w:rsidP="002C7DB1">
                  <w:pPr>
                    <w:jc w:val="center"/>
                    <w:rPr>
                      <w:b/>
                      <w:bCs/>
                      <w:color w:val="C00000"/>
                      <w:sz w:val="20"/>
                      <w:szCs w:val="20"/>
                    </w:rPr>
                  </w:pPr>
                  <w:r w:rsidRPr="007E78B2">
                    <w:rPr>
                      <w:b/>
                      <w:bCs/>
                      <w:color w:val="C00000"/>
                      <w:sz w:val="20"/>
                      <w:szCs w:val="20"/>
                    </w:rPr>
                    <w:t xml:space="preserve">schwere Form </w:t>
                  </w:r>
                  <w:r>
                    <w:rPr>
                      <w:b/>
                      <w:bCs/>
                      <w:color w:val="C00000"/>
                      <w:sz w:val="20"/>
                      <w:szCs w:val="20"/>
                    </w:rPr>
                    <w:br/>
                  </w:r>
                  <w:r w:rsidRPr="007E78B2">
                    <w:rPr>
                      <w:b/>
                      <w:bCs/>
                      <w:color w:val="C00000"/>
                      <w:sz w:val="20"/>
                      <w:szCs w:val="20"/>
                    </w:rPr>
                    <w:t>der Ernährungsunsicherheit</w:t>
                  </w:r>
                </w:p>
              </w:tc>
            </w:tr>
          </w:tbl>
          <w:p w:rsidR="007E78B2" w:rsidRDefault="007E78B2" w:rsidP="002C7DB1">
            <w:pPr>
              <w:rPr>
                <w:color w:val="000000" w:themeColor="text1"/>
              </w:rPr>
            </w:pPr>
          </w:p>
        </w:tc>
      </w:tr>
      <w:tr w:rsidR="007E78B2" w:rsidRPr="00C30A11" w:rsidTr="00FE4C9C">
        <w:tc>
          <w:tcPr>
            <w:tcW w:w="9638" w:type="dxa"/>
            <w:tcBorders>
              <w:top w:val="nil"/>
              <w:left w:val="nil"/>
              <w:bottom w:val="nil"/>
              <w:right w:val="nil"/>
            </w:tcBorders>
            <w:tcMar>
              <w:top w:w="227" w:type="dxa"/>
              <w:left w:w="0" w:type="dxa"/>
              <w:right w:w="0" w:type="dxa"/>
            </w:tcMar>
          </w:tcPr>
          <w:p w:rsidR="007E78B2" w:rsidRDefault="007E78B2" w:rsidP="002C7DB1">
            <w:pPr>
              <w:jc w:val="center"/>
              <w:rPr>
                <w:b/>
                <w:bCs/>
              </w:rPr>
            </w:pPr>
            <w:proofErr w:type="spellStart"/>
            <w:r w:rsidRPr="00265672">
              <w:rPr>
                <w:b/>
                <w:bCs/>
              </w:rPr>
              <w:t>During</w:t>
            </w:r>
            <w:proofErr w:type="spellEnd"/>
            <w:r w:rsidRPr="00265672">
              <w:rPr>
                <w:b/>
                <w:bCs/>
              </w:rPr>
              <w:t xml:space="preserve"> </w:t>
            </w:r>
            <w:proofErr w:type="spellStart"/>
            <w:r w:rsidRPr="00265672">
              <w:rPr>
                <w:b/>
                <w:bCs/>
              </w:rPr>
              <w:t>the</w:t>
            </w:r>
            <w:proofErr w:type="spellEnd"/>
            <w:r w:rsidRPr="00265672">
              <w:rPr>
                <w:b/>
                <w:bCs/>
              </w:rPr>
              <w:t xml:space="preserve"> last 12 </w:t>
            </w:r>
            <w:proofErr w:type="spellStart"/>
            <w:r w:rsidRPr="00265672">
              <w:rPr>
                <w:b/>
                <w:bCs/>
              </w:rPr>
              <w:t>months</w:t>
            </w:r>
            <w:proofErr w:type="spellEnd"/>
            <w:r w:rsidRPr="00265672">
              <w:rPr>
                <w:b/>
                <w:bCs/>
              </w:rPr>
              <w:t xml:space="preserve">, was </w:t>
            </w:r>
            <w:proofErr w:type="spellStart"/>
            <w:r w:rsidRPr="00265672">
              <w:rPr>
                <w:b/>
                <w:bCs/>
              </w:rPr>
              <w:t>there</w:t>
            </w:r>
            <w:proofErr w:type="spellEnd"/>
            <w:r w:rsidRPr="00265672">
              <w:rPr>
                <w:b/>
                <w:bCs/>
              </w:rPr>
              <w:t xml:space="preserve"> a time </w:t>
            </w:r>
            <w:r>
              <w:rPr>
                <w:b/>
                <w:bCs/>
              </w:rPr>
              <w:br/>
            </w:r>
            <w:proofErr w:type="spellStart"/>
            <w:r w:rsidRPr="00265672">
              <w:rPr>
                <w:b/>
                <w:bCs/>
              </w:rPr>
              <w:t>when</w:t>
            </w:r>
            <w:proofErr w:type="spellEnd"/>
            <w:r w:rsidRPr="00265672">
              <w:rPr>
                <w:b/>
                <w:bCs/>
              </w:rPr>
              <w:t xml:space="preserve">, </w:t>
            </w:r>
            <w:proofErr w:type="spellStart"/>
            <w:r w:rsidRPr="00265672">
              <w:rPr>
                <w:b/>
                <w:bCs/>
              </w:rPr>
              <w:t>because</w:t>
            </w:r>
            <w:proofErr w:type="spellEnd"/>
            <w:r w:rsidRPr="00265672">
              <w:rPr>
                <w:b/>
                <w:bCs/>
              </w:rPr>
              <w:t xml:space="preserve"> </w:t>
            </w:r>
            <w:proofErr w:type="spellStart"/>
            <w:r w:rsidRPr="00265672">
              <w:rPr>
                <w:b/>
                <w:bCs/>
              </w:rPr>
              <w:t>of</w:t>
            </w:r>
            <w:proofErr w:type="spellEnd"/>
            <w:r w:rsidRPr="00265672">
              <w:rPr>
                <w:b/>
                <w:bCs/>
              </w:rPr>
              <w:t xml:space="preserve"> lack </w:t>
            </w:r>
            <w:proofErr w:type="spellStart"/>
            <w:r w:rsidRPr="00265672">
              <w:rPr>
                <w:b/>
                <w:bCs/>
              </w:rPr>
              <w:t>of</w:t>
            </w:r>
            <w:proofErr w:type="spellEnd"/>
            <w:r w:rsidRPr="00265672">
              <w:rPr>
                <w:b/>
                <w:bCs/>
              </w:rPr>
              <w:t xml:space="preserve"> </w:t>
            </w:r>
            <w:proofErr w:type="spellStart"/>
            <w:r w:rsidRPr="00265672">
              <w:rPr>
                <w:b/>
                <w:bCs/>
              </w:rPr>
              <w:t>money</w:t>
            </w:r>
            <w:proofErr w:type="spellEnd"/>
            <w:r w:rsidRPr="00265672">
              <w:rPr>
                <w:b/>
                <w:bCs/>
              </w:rPr>
              <w:t xml:space="preserve"> </w:t>
            </w:r>
            <w:proofErr w:type="spellStart"/>
            <w:r w:rsidRPr="00265672">
              <w:rPr>
                <w:b/>
                <w:bCs/>
              </w:rPr>
              <w:t>or</w:t>
            </w:r>
            <w:proofErr w:type="spellEnd"/>
            <w:r w:rsidRPr="00265672">
              <w:rPr>
                <w:b/>
                <w:bCs/>
              </w:rPr>
              <w:t xml:space="preserve"> </w:t>
            </w:r>
            <w:proofErr w:type="spellStart"/>
            <w:r w:rsidRPr="00265672">
              <w:rPr>
                <w:b/>
                <w:bCs/>
              </w:rPr>
              <w:t>other</w:t>
            </w:r>
            <w:proofErr w:type="spellEnd"/>
            <w:r w:rsidRPr="00265672">
              <w:rPr>
                <w:b/>
                <w:bCs/>
              </w:rPr>
              <w:t xml:space="preserve"> </w:t>
            </w:r>
            <w:proofErr w:type="spellStart"/>
            <w:r w:rsidRPr="00265672">
              <w:rPr>
                <w:b/>
                <w:bCs/>
              </w:rPr>
              <w:t>resources</w:t>
            </w:r>
            <w:proofErr w:type="spellEnd"/>
            <w:r w:rsidRPr="00265672">
              <w:rPr>
                <w:b/>
                <w:bCs/>
              </w:rPr>
              <w:t>:</w:t>
            </w:r>
          </w:p>
          <w:p w:rsidR="007E78B2" w:rsidRDefault="007E78B2" w:rsidP="002C7DB1">
            <w:proofErr w:type="spellStart"/>
            <w:r w:rsidRPr="00265672">
              <w:t>You</w:t>
            </w:r>
            <w:proofErr w:type="spellEnd"/>
            <w:r w:rsidRPr="00265672">
              <w:t xml:space="preserve"> </w:t>
            </w:r>
            <w:proofErr w:type="spellStart"/>
            <w:r w:rsidRPr="00265672">
              <w:t>ate</w:t>
            </w:r>
            <w:proofErr w:type="spellEnd"/>
            <w:r w:rsidRPr="00265672">
              <w:t xml:space="preserve"> </w:t>
            </w:r>
            <w:proofErr w:type="spellStart"/>
            <w:r w:rsidRPr="00265672">
              <w:t>less</w:t>
            </w:r>
            <w:proofErr w:type="spellEnd"/>
            <w:r w:rsidRPr="00265672">
              <w:t xml:space="preserve"> </w:t>
            </w:r>
            <w:proofErr w:type="spellStart"/>
            <w:r w:rsidRPr="00265672">
              <w:t>than</w:t>
            </w:r>
            <w:proofErr w:type="spellEnd"/>
            <w:r w:rsidRPr="00265672">
              <w:t xml:space="preserve"> </w:t>
            </w:r>
            <w:proofErr w:type="spellStart"/>
            <w:r w:rsidRPr="00265672">
              <w:t>you</w:t>
            </w:r>
            <w:proofErr w:type="spellEnd"/>
            <w:r w:rsidRPr="00265672">
              <w:t xml:space="preserve"> </w:t>
            </w:r>
            <w:proofErr w:type="spellStart"/>
            <w:r w:rsidRPr="00265672">
              <w:t>thought</w:t>
            </w:r>
            <w:proofErr w:type="spellEnd"/>
            <w:r w:rsidRPr="00265672">
              <w:t xml:space="preserve"> </w:t>
            </w:r>
            <w:proofErr w:type="spellStart"/>
            <w:r w:rsidRPr="00265672">
              <w:t>you</w:t>
            </w:r>
            <w:proofErr w:type="spellEnd"/>
            <w:r w:rsidRPr="00265672">
              <w:t xml:space="preserve"> </w:t>
            </w:r>
            <w:proofErr w:type="spellStart"/>
            <w:r w:rsidRPr="00265672">
              <w:t>should</w:t>
            </w:r>
            <w:proofErr w:type="spellEnd"/>
            <w:r w:rsidRPr="00265672">
              <w:t>?</w:t>
            </w:r>
          </w:p>
          <w:p w:rsidR="003862BC" w:rsidRPr="00C30A11" w:rsidRDefault="007E78B2" w:rsidP="002C7DB1">
            <w:proofErr w:type="spellStart"/>
            <w:r w:rsidRPr="00265672">
              <w:t>You</w:t>
            </w:r>
            <w:proofErr w:type="spellEnd"/>
            <w:r w:rsidRPr="00265672">
              <w:t xml:space="preserve"> </w:t>
            </w:r>
            <w:proofErr w:type="spellStart"/>
            <w:r w:rsidRPr="00265672">
              <w:t>ate</w:t>
            </w:r>
            <w:proofErr w:type="spellEnd"/>
            <w:r w:rsidRPr="00265672">
              <w:t xml:space="preserve"> </w:t>
            </w:r>
            <w:proofErr w:type="spellStart"/>
            <w:r w:rsidRPr="00265672">
              <w:t>only</w:t>
            </w:r>
            <w:proofErr w:type="spellEnd"/>
            <w:r w:rsidRPr="00265672">
              <w:t xml:space="preserve"> a </w:t>
            </w:r>
            <w:proofErr w:type="spellStart"/>
            <w:r w:rsidRPr="00265672">
              <w:t>few</w:t>
            </w:r>
            <w:proofErr w:type="spellEnd"/>
            <w:r w:rsidRPr="00265672">
              <w:t xml:space="preserve"> </w:t>
            </w:r>
            <w:proofErr w:type="spellStart"/>
            <w:r w:rsidRPr="00265672">
              <w:t>kinds</w:t>
            </w:r>
            <w:proofErr w:type="spellEnd"/>
            <w:r w:rsidRPr="00265672">
              <w:t xml:space="preserve"> </w:t>
            </w:r>
            <w:proofErr w:type="spellStart"/>
            <w:r w:rsidRPr="00265672">
              <w:t>of</w:t>
            </w:r>
            <w:proofErr w:type="spellEnd"/>
            <w:r w:rsidRPr="00265672">
              <w:t xml:space="preserve"> </w:t>
            </w:r>
            <w:proofErr w:type="spellStart"/>
            <w:r w:rsidRPr="00265672">
              <w:t>foods</w:t>
            </w:r>
            <w:proofErr w:type="spellEnd"/>
            <w:r w:rsidRPr="00265672">
              <w:t>?</w:t>
            </w:r>
            <w:r w:rsidRPr="00265672">
              <w:br/>
            </w:r>
            <w:proofErr w:type="spellStart"/>
            <w:r w:rsidRPr="00265672">
              <w:t>You</w:t>
            </w:r>
            <w:proofErr w:type="spellEnd"/>
            <w:r w:rsidRPr="00265672">
              <w:t xml:space="preserve"> </w:t>
            </w:r>
            <w:proofErr w:type="spellStart"/>
            <w:r w:rsidRPr="00265672">
              <w:t>had</w:t>
            </w:r>
            <w:proofErr w:type="spellEnd"/>
            <w:r w:rsidRPr="00265672">
              <w:t xml:space="preserve"> </w:t>
            </w:r>
            <w:proofErr w:type="spellStart"/>
            <w:r w:rsidRPr="00265672">
              <w:t>to</w:t>
            </w:r>
            <w:proofErr w:type="spellEnd"/>
            <w:r w:rsidRPr="00265672">
              <w:t xml:space="preserve"> </w:t>
            </w:r>
            <w:proofErr w:type="spellStart"/>
            <w:r w:rsidRPr="00265672">
              <w:t>skip</w:t>
            </w:r>
            <w:proofErr w:type="spellEnd"/>
            <w:r w:rsidRPr="00265672">
              <w:t xml:space="preserve"> a </w:t>
            </w:r>
            <w:proofErr w:type="spellStart"/>
            <w:r w:rsidRPr="00265672">
              <w:t>meal</w:t>
            </w:r>
            <w:proofErr w:type="spellEnd"/>
            <w:r w:rsidRPr="00265672">
              <w:t>?</w:t>
            </w:r>
            <w:r w:rsidRPr="00265672">
              <w:br/>
            </w:r>
            <w:proofErr w:type="spellStart"/>
            <w:r w:rsidRPr="00265672">
              <w:t>Your</w:t>
            </w:r>
            <w:proofErr w:type="spellEnd"/>
            <w:r w:rsidRPr="00265672">
              <w:t xml:space="preserve"> </w:t>
            </w:r>
            <w:proofErr w:type="spellStart"/>
            <w:r w:rsidRPr="00265672">
              <w:t>household</w:t>
            </w:r>
            <w:proofErr w:type="spellEnd"/>
            <w:r w:rsidRPr="00265672">
              <w:t xml:space="preserve"> ran out </w:t>
            </w:r>
            <w:proofErr w:type="spellStart"/>
            <w:r w:rsidRPr="00265672">
              <w:t>of</w:t>
            </w:r>
            <w:proofErr w:type="spellEnd"/>
            <w:r w:rsidRPr="00265672">
              <w:t xml:space="preserve"> </w:t>
            </w:r>
            <w:proofErr w:type="spellStart"/>
            <w:r w:rsidRPr="00265672">
              <w:t>food</w:t>
            </w:r>
            <w:proofErr w:type="spellEnd"/>
            <w:r w:rsidRPr="00265672">
              <w:t>?</w:t>
            </w:r>
            <w:r w:rsidRPr="00265672">
              <w:br/>
            </w:r>
            <w:proofErr w:type="spellStart"/>
            <w:r w:rsidRPr="00265672">
              <w:t>You</w:t>
            </w:r>
            <w:proofErr w:type="spellEnd"/>
            <w:r w:rsidRPr="00265672">
              <w:t xml:space="preserve"> </w:t>
            </w:r>
            <w:proofErr w:type="spellStart"/>
            <w:r w:rsidRPr="00265672">
              <w:t>went</w:t>
            </w:r>
            <w:proofErr w:type="spellEnd"/>
            <w:r w:rsidRPr="00265672">
              <w:t xml:space="preserve"> </w:t>
            </w:r>
            <w:proofErr w:type="spellStart"/>
            <w:r w:rsidRPr="00265672">
              <w:t>without</w:t>
            </w:r>
            <w:proofErr w:type="spellEnd"/>
            <w:r w:rsidRPr="00265672">
              <w:t xml:space="preserve"> </w:t>
            </w:r>
            <w:proofErr w:type="spellStart"/>
            <w:r w:rsidRPr="00265672">
              <w:t>eating</w:t>
            </w:r>
            <w:proofErr w:type="spellEnd"/>
            <w:r w:rsidRPr="00265672">
              <w:t xml:space="preserve"> </w:t>
            </w:r>
            <w:proofErr w:type="spellStart"/>
            <w:r w:rsidRPr="00265672">
              <w:t>for</w:t>
            </w:r>
            <w:proofErr w:type="spellEnd"/>
            <w:r w:rsidRPr="00265672">
              <w:t xml:space="preserve"> a </w:t>
            </w:r>
            <w:proofErr w:type="spellStart"/>
            <w:r w:rsidRPr="00265672">
              <w:t>whole</w:t>
            </w:r>
            <w:proofErr w:type="spellEnd"/>
            <w:r w:rsidRPr="00265672">
              <w:t xml:space="preserve"> </w:t>
            </w:r>
            <w:proofErr w:type="spellStart"/>
            <w:r w:rsidRPr="00265672">
              <w:t>day</w:t>
            </w:r>
            <w:proofErr w:type="spellEnd"/>
            <w:r w:rsidRPr="00265672">
              <w:t>?</w:t>
            </w:r>
            <w:r>
              <w:br/>
            </w:r>
            <w:proofErr w:type="spellStart"/>
            <w:r w:rsidRPr="00265672">
              <w:t>You</w:t>
            </w:r>
            <w:proofErr w:type="spellEnd"/>
            <w:r w:rsidRPr="00265672">
              <w:t xml:space="preserve"> </w:t>
            </w:r>
            <w:proofErr w:type="spellStart"/>
            <w:r w:rsidRPr="00265672">
              <w:t>were</w:t>
            </w:r>
            <w:proofErr w:type="spellEnd"/>
            <w:r w:rsidRPr="00265672">
              <w:t xml:space="preserve"> </w:t>
            </w:r>
            <w:proofErr w:type="spellStart"/>
            <w:r w:rsidRPr="00265672">
              <w:t>hungry</w:t>
            </w:r>
            <w:proofErr w:type="spellEnd"/>
            <w:r w:rsidRPr="00265672">
              <w:t xml:space="preserve"> but </w:t>
            </w:r>
            <w:proofErr w:type="spellStart"/>
            <w:r w:rsidRPr="00265672">
              <w:t>did</w:t>
            </w:r>
            <w:proofErr w:type="spellEnd"/>
            <w:r w:rsidRPr="00265672">
              <w:t xml:space="preserve"> not </w:t>
            </w:r>
            <w:proofErr w:type="spellStart"/>
            <w:r w:rsidRPr="00265672">
              <w:t>eat</w:t>
            </w:r>
            <w:proofErr w:type="spellEnd"/>
            <w:r w:rsidRPr="00265672">
              <w:t>?</w:t>
            </w:r>
            <w:r w:rsidRPr="00265672">
              <w:br/>
            </w:r>
            <w:proofErr w:type="spellStart"/>
            <w:r w:rsidRPr="00265672">
              <w:t>You</w:t>
            </w:r>
            <w:proofErr w:type="spellEnd"/>
            <w:r w:rsidRPr="00265672">
              <w:t xml:space="preserve"> </w:t>
            </w:r>
            <w:proofErr w:type="spellStart"/>
            <w:r w:rsidRPr="00265672">
              <w:t>were</w:t>
            </w:r>
            <w:proofErr w:type="spellEnd"/>
            <w:r w:rsidRPr="00265672">
              <w:t xml:space="preserve"> </w:t>
            </w:r>
            <w:proofErr w:type="spellStart"/>
            <w:r w:rsidRPr="00265672">
              <w:t>unable</w:t>
            </w:r>
            <w:proofErr w:type="spellEnd"/>
            <w:r w:rsidRPr="00265672">
              <w:t xml:space="preserve"> </w:t>
            </w:r>
            <w:proofErr w:type="spellStart"/>
            <w:r w:rsidRPr="00265672">
              <w:t>to</w:t>
            </w:r>
            <w:proofErr w:type="spellEnd"/>
            <w:r w:rsidRPr="00265672">
              <w:t xml:space="preserve"> </w:t>
            </w:r>
            <w:proofErr w:type="spellStart"/>
            <w:r w:rsidRPr="00265672">
              <w:t>eat</w:t>
            </w:r>
            <w:proofErr w:type="spellEnd"/>
            <w:r w:rsidRPr="00265672">
              <w:t xml:space="preserve"> </w:t>
            </w:r>
            <w:proofErr w:type="spellStart"/>
            <w:r w:rsidRPr="00265672">
              <w:t>healthy</w:t>
            </w:r>
            <w:proofErr w:type="spellEnd"/>
            <w:r w:rsidRPr="00265672">
              <w:t xml:space="preserve"> </w:t>
            </w:r>
            <w:proofErr w:type="spellStart"/>
            <w:r w:rsidRPr="00265672">
              <w:t>and</w:t>
            </w:r>
            <w:proofErr w:type="spellEnd"/>
            <w:r w:rsidRPr="00265672">
              <w:t xml:space="preserve"> </w:t>
            </w:r>
            <w:proofErr w:type="spellStart"/>
            <w:r w:rsidRPr="00265672">
              <w:t>nutritious</w:t>
            </w:r>
            <w:proofErr w:type="spellEnd"/>
            <w:r w:rsidRPr="00265672">
              <w:t xml:space="preserve"> </w:t>
            </w:r>
            <w:proofErr w:type="spellStart"/>
            <w:r w:rsidRPr="00265672">
              <w:t>food</w:t>
            </w:r>
            <w:proofErr w:type="spellEnd"/>
            <w:r w:rsidRPr="00265672">
              <w:t>?</w:t>
            </w:r>
            <w:r w:rsidRPr="00265672">
              <w:br/>
            </w:r>
            <w:proofErr w:type="spellStart"/>
            <w:r w:rsidRPr="00265672">
              <w:t>You</w:t>
            </w:r>
            <w:proofErr w:type="spellEnd"/>
            <w:r w:rsidRPr="00265672">
              <w:t xml:space="preserve"> </w:t>
            </w:r>
            <w:proofErr w:type="spellStart"/>
            <w:r w:rsidRPr="00265672">
              <w:t>were</w:t>
            </w:r>
            <w:proofErr w:type="spellEnd"/>
            <w:r w:rsidRPr="00265672">
              <w:t xml:space="preserve"> </w:t>
            </w:r>
            <w:proofErr w:type="spellStart"/>
            <w:r w:rsidRPr="00265672">
              <w:t>worried</w:t>
            </w:r>
            <w:proofErr w:type="spellEnd"/>
            <w:r w:rsidRPr="00265672">
              <w:t xml:space="preserve"> </w:t>
            </w:r>
            <w:proofErr w:type="spellStart"/>
            <w:r w:rsidRPr="00265672">
              <w:t>you</w:t>
            </w:r>
            <w:proofErr w:type="spellEnd"/>
            <w:r w:rsidRPr="00265672">
              <w:t xml:space="preserve"> </w:t>
            </w:r>
            <w:proofErr w:type="spellStart"/>
            <w:r w:rsidRPr="00265672">
              <w:t>would</w:t>
            </w:r>
            <w:proofErr w:type="spellEnd"/>
            <w:r w:rsidRPr="00265672">
              <w:t xml:space="preserve"> not </w:t>
            </w:r>
            <w:proofErr w:type="spellStart"/>
            <w:r w:rsidRPr="00265672">
              <w:t>have</w:t>
            </w:r>
            <w:proofErr w:type="spellEnd"/>
            <w:r w:rsidRPr="00265672">
              <w:t xml:space="preserve"> </w:t>
            </w:r>
            <w:proofErr w:type="spellStart"/>
            <w:r w:rsidRPr="00265672">
              <w:t>enough</w:t>
            </w:r>
            <w:proofErr w:type="spellEnd"/>
            <w:r w:rsidRPr="00265672">
              <w:t xml:space="preserve"> </w:t>
            </w:r>
            <w:proofErr w:type="spellStart"/>
            <w:r w:rsidRPr="00265672">
              <w:t>food</w:t>
            </w:r>
            <w:proofErr w:type="spellEnd"/>
            <w:r w:rsidRPr="00265672">
              <w:t xml:space="preserve"> </w:t>
            </w:r>
            <w:proofErr w:type="spellStart"/>
            <w:r w:rsidRPr="00265672">
              <w:t>to</w:t>
            </w:r>
            <w:proofErr w:type="spellEnd"/>
            <w:r w:rsidRPr="00265672">
              <w:t xml:space="preserve"> </w:t>
            </w:r>
            <w:proofErr w:type="spellStart"/>
            <w:r w:rsidRPr="00265672">
              <w:t>eat</w:t>
            </w:r>
            <w:proofErr w:type="spellEnd"/>
            <w:r w:rsidRPr="00265672">
              <w:t>?</w:t>
            </w:r>
          </w:p>
        </w:tc>
      </w:tr>
    </w:tbl>
    <w:p w:rsidR="00FE4C9C" w:rsidRDefault="00FE4C9C" w:rsidP="003862BC">
      <w:pPr>
        <w:pStyle w:val="Textkrper"/>
      </w:pPr>
      <w:r>
        <w:rPr>
          <w:noProof/>
          <w:lang w:eastAsia="de-DE"/>
        </w:rPr>
        <mc:AlternateContent>
          <mc:Choice Requires="wps">
            <w:drawing>
              <wp:anchor distT="45720" distB="45720" distL="114300" distR="114300" simplePos="0" relativeHeight="251666432" behindDoc="0" locked="0" layoutInCell="1" allowOverlap="1" wp14:anchorId="7E67A5AF" wp14:editId="694C2EF8">
                <wp:simplePos x="0" y="0"/>
                <wp:positionH relativeFrom="column">
                  <wp:posOffset>0</wp:posOffset>
                </wp:positionH>
                <wp:positionV relativeFrom="paragraph">
                  <wp:posOffset>307975</wp:posOffset>
                </wp:positionV>
                <wp:extent cx="6120000" cy="1404620"/>
                <wp:effectExtent l="0" t="0" r="14605" b="2603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9525">
                          <a:solidFill>
                            <a:srgbClr val="008ACC"/>
                          </a:solidFill>
                          <a:miter lim="800000"/>
                          <a:headEnd/>
                          <a:tailEnd/>
                        </a:ln>
                      </wps:spPr>
                      <wps:txbx>
                        <w:txbxContent>
                          <w:p w:rsidR="00FE4C9C" w:rsidRPr="003862BC" w:rsidRDefault="00FE4C9C" w:rsidP="00FE4C9C">
                            <w:pPr>
                              <w:pStyle w:val="Fotonachweisfett"/>
                              <w:rPr>
                                <w:rStyle w:val="TextkrperZchn"/>
                              </w:rPr>
                            </w:pPr>
                            <w:r w:rsidRPr="007E78B2">
                              <w:rPr>
                                <w:rStyle w:val="TextkrperZchn"/>
                              </w:rPr>
                              <w:t>Aufgaben:</w:t>
                            </w:r>
                          </w:p>
                          <w:p w:rsidR="00FE4C9C" w:rsidRDefault="00FE4C9C" w:rsidP="00FE4C9C">
                            <w:pPr>
                              <w:pStyle w:val="Listenabsatz"/>
                              <w:numPr>
                                <w:ilvl w:val="0"/>
                                <w:numId w:val="14"/>
                              </w:numPr>
                              <w:rPr>
                                <w:color w:val="000000" w:themeColor="text1"/>
                              </w:rPr>
                            </w:pPr>
                            <w:r>
                              <w:rPr>
                                <w:color w:val="000000" w:themeColor="text1"/>
                              </w:rPr>
                              <w:t xml:space="preserve">Seht Euch bitte an, wie die FAO (Food </w:t>
                            </w:r>
                            <w:proofErr w:type="spellStart"/>
                            <w:r>
                              <w:rPr>
                                <w:color w:val="000000" w:themeColor="text1"/>
                              </w:rPr>
                              <w:t>and</w:t>
                            </w:r>
                            <w:proofErr w:type="spellEnd"/>
                            <w:r>
                              <w:rPr>
                                <w:color w:val="000000" w:themeColor="text1"/>
                              </w:rPr>
                              <w:t xml:space="preserve"> </w:t>
                            </w:r>
                            <w:proofErr w:type="spellStart"/>
                            <w:r>
                              <w:rPr>
                                <w:color w:val="000000" w:themeColor="text1"/>
                              </w:rPr>
                              <w:t>Agriculture</w:t>
                            </w:r>
                            <w:proofErr w:type="spellEnd"/>
                            <w:r>
                              <w:rPr>
                                <w:color w:val="000000" w:themeColor="text1"/>
                              </w:rPr>
                              <w:t xml:space="preserve"> Organisation der Vereinten Nationen) </w:t>
                            </w:r>
                            <w:proofErr w:type="spellStart"/>
                            <w:r>
                              <w:rPr>
                                <w:color w:val="000000" w:themeColor="text1"/>
                              </w:rPr>
                              <w:t>Ernährungs</w:t>
                            </w:r>
                            <w:proofErr w:type="spellEnd"/>
                            <w:r>
                              <w:rPr>
                                <w:color w:val="000000" w:themeColor="text1"/>
                              </w:rPr>
                              <w:t>(</w:t>
                            </w:r>
                            <w:proofErr w:type="spellStart"/>
                            <w:r>
                              <w:rPr>
                                <w:color w:val="000000" w:themeColor="text1"/>
                              </w:rPr>
                              <w:t>un</w:t>
                            </w:r>
                            <w:proofErr w:type="spellEnd"/>
                            <w:r>
                              <w:rPr>
                                <w:color w:val="000000" w:themeColor="text1"/>
                              </w:rPr>
                              <w:t>)</w:t>
                            </w:r>
                            <w:proofErr w:type="spellStart"/>
                            <w:r>
                              <w:rPr>
                                <w:color w:val="000000" w:themeColor="text1"/>
                              </w:rPr>
                              <w:t>sicherheit</w:t>
                            </w:r>
                            <w:proofErr w:type="spellEnd"/>
                            <w:r>
                              <w:rPr>
                                <w:color w:val="000000" w:themeColor="text1"/>
                              </w:rPr>
                              <w:t xml:space="preserve"> beschreibt. Was unterscheidet die moderate von der schweren Form der Nahrungsunsicherheit?</w:t>
                            </w:r>
                          </w:p>
                          <w:p w:rsidR="00FE4C9C" w:rsidRDefault="00FE4C9C" w:rsidP="00FE4C9C">
                            <w:pPr>
                              <w:pStyle w:val="Listenabsatz"/>
                              <w:numPr>
                                <w:ilvl w:val="0"/>
                                <w:numId w:val="14"/>
                              </w:numPr>
                              <w:rPr>
                                <w:color w:val="000000" w:themeColor="text1"/>
                              </w:rPr>
                            </w:pPr>
                            <w:r>
                              <w:rPr>
                                <w:color w:val="000000" w:themeColor="text1"/>
                              </w:rPr>
                              <w:t>Übersetzt bitte die oben angegebenen Fragen. Welche Frage würdet Ihr der moderaten, welche der schweren Form der Ernährungsunsicherheit zuordnen?</w:t>
                            </w:r>
                          </w:p>
                          <w:p w:rsidR="00FE4C9C" w:rsidRPr="003862BC" w:rsidRDefault="00FE4C9C" w:rsidP="00FE4C9C">
                            <w:pPr>
                              <w:pStyle w:val="Listenabsatz"/>
                              <w:numPr>
                                <w:ilvl w:val="0"/>
                                <w:numId w:val="14"/>
                              </w:numPr>
                              <w:rPr>
                                <w:color w:val="000000" w:themeColor="text1"/>
                              </w:rPr>
                            </w:pPr>
                            <w:r>
                              <w:rPr>
                                <w:color w:val="000000" w:themeColor="text1"/>
                              </w:rPr>
                              <w:t>Beschreibt bitte in einem Tweet (maximal 280 Zeichen), was „Ernährungsunsicherheit“ 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7A5AF" id="_x0000_s1029" type="#_x0000_t202" style="position:absolute;margin-left:0;margin-top:24.25pt;width:481.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" fillcolor="#bfd9f2" strokecolor="#008acc">
                <v:textbox style="mso-fit-shape-to-text:t">
                  <w:txbxContent>
                    <w:p w:rsidR="00FE4C9C" w:rsidRPr="003862BC" w:rsidRDefault="00FE4C9C" w:rsidP="00FE4C9C">
                      <w:pPr>
                        <w:pStyle w:val="Fotonachweisfett"/>
                        <w:rPr>
                          <w:rStyle w:val="TextkrperZchn"/>
                        </w:rPr>
                      </w:pPr>
                      <w:r w:rsidRPr="007E78B2">
                        <w:rPr>
                          <w:rStyle w:val="TextkrperZchn"/>
                        </w:rPr>
                        <w:t>Aufgaben:</w:t>
                      </w:r>
                    </w:p>
                    <w:p w:rsidR="00FE4C9C" w:rsidRDefault="00FE4C9C" w:rsidP="00FE4C9C">
                      <w:pPr>
                        <w:pStyle w:val="Listenabsatz"/>
                        <w:numPr>
                          <w:ilvl w:val="0"/>
                          <w:numId w:val="14"/>
                        </w:numPr>
                        <w:rPr>
                          <w:color w:val="000000" w:themeColor="text1"/>
                        </w:rPr>
                      </w:pPr>
                      <w:r>
                        <w:rPr>
                          <w:color w:val="000000" w:themeColor="text1"/>
                        </w:rPr>
                        <w:t xml:space="preserve">Seht Euch bitte an, wie die FAO (Food </w:t>
                      </w:r>
                      <w:proofErr w:type="spellStart"/>
                      <w:r>
                        <w:rPr>
                          <w:color w:val="000000" w:themeColor="text1"/>
                        </w:rPr>
                        <w:t>and</w:t>
                      </w:r>
                      <w:proofErr w:type="spellEnd"/>
                      <w:r>
                        <w:rPr>
                          <w:color w:val="000000" w:themeColor="text1"/>
                        </w:rPr>
                        <w:t xml:space="preserve"> </w:t>
                      </w:r>
                      <w:proofErr w:type="spellStart"/>
                      <w:r>
                        <w:rPr>
                          <w:color w:val="000000" w:themeColor="text1"/>
                        </w:rPr>
                        <w:t>Agriculture</w:t>
                      </w:r>
                      <w:proofErr w:type="spellEnd"/>
                      <w:r>
                        <w:rPr>
                          <w:color w:val="000000" w:themeColor="text1"/>
                        </w:rPr>
                        <w:t xml:space="preserve"> Organisation der Vereinten Nationen) </w:t>
                      </w:r>
                      <w:proofErr w:type="spellStart"/>
                      <w:r>
                        <w:rPr>
                          <w:color w:val="000000" w:themeColor="text1"/>
                        </w:rPr>
                        <w:t>Ernährungs</w:t>
                      </w:r>
                      <w:proofErr w:type="spellEnd"/>
                      <w:r>
                        <w:rPr>
                          <w:color w:val="000000" w:themeColor="text1"/>
                        </w:rPr>
                        <w:t>(</w:t>
                      </w:r>
                      <w:proofErr w:type="spellStart"/>
                      <w:r>
                        <w:rPr>
                          <w:color w:val="000000" w:themeColor="text1"/>
                        </w:rPr>
                        <w:t>un</w:t>
                      </w:r>
                      <w:proofErr w:type="spellEnd"/>
                      <w:r>
                        <w:rPr>
                          <w:color w:val="000000" w:themeColor="text1"/>
                        </w:rPr>
                        <w:t>)</w:t>
                      </w:r>
                      <w:proofErr w:type="spellStart"/>
                      <w:r>
                        <w:rPr>
                          <w:color w:val="000000" w:themeColor="text1"/>
                        </w:rPr>
                        <w:t>sicherheit</w:t>
                      </w:r>
                      <w:proofErr w:type="spellEnd"/>
                      <w:r>
                        <w:rPr>
                          <w:color w:val="000000" w:themeColor="text1"/>
                        </w:rPr>
                        <w:t xml:space="preserve"> beschreibt. Was unterscheidet die moderate von der schweren Form der Nahrungsunsicherheit?</w:t>
                      </w:r>
                    </w:p>
                    <w:p w:rsidR="00FE4C9C" w:rsidRDefault="00FE4C9C" w:rsidP="00FE4C9C">
                      <w:pPr>
                        <w:pStyle w:val="Listenabsatz"/>
                        <w:numPr>
                          <w:ilvl w:val="0"/>
                          <w:numId w:val="14"/>
                        </w:numPr>
                        <w:rPr>
                          <w:color w:val="000000" w:themeColor="text1"/>
                        </w:rPr>
                      </w:pPr>
                      <w:r>
                        <w:rPr>
                          <w:color w:val="000000" w:themeColor="text1"/>
                        </w:rPr>
                        <w:t>Übersetzt bitte die oben angegebenen Fragen. Welche Frage würdet Ihr der moderaten, welche der schweren Form der Ernährungsunsicherheit zuordnen?</w:t>
                      </w:r>
                    </w:p>
                    <w:p w:rsidR="00FE4C9C" w:rsidRPr="003862BC" w:rsidRDefault="00FE4C9C" w:rsidP="00FE4C9C">
                      <w:pPr>
                        <w:pStyle w:val="Listenabsatz"/>
                        <w:numPr>
                          <w:ilvl w:val="0"/>
                          <w:numId w:val="14"/>
                        </w:numPr>
                        <w:rPr>
                          <w:color w:val="000000" w:themeColor="text1"/>
                        </w:rPr>
                      </w:pPr>
                      <w:r>
                        <w:rPr>
                          <w:color w:val="000000" w:themeColor="text1"/>
                        </w:rPr>
                        <w:t>Beschreibt bitte in einem Tweet (maximal 280 Zeichen), was „Ernährungsunsicherheit“ ist.</w:t>
                      </w:r>
                    </w:p>
                  </w:txbxContent>
                </v:textbox>
                <w10:wrap type="square"/>
              </v:shape>
            </w:pict>
          </mc:Fallback>
        </mc:AlternateContent>
      </w:r>
    </w:p>
    <w:p w:rsidR="00F337BA" w:rsidRPr="00EC59BE" w:rsidRDefault="00972AAA" w:rsidP="00F337BA">
      <w:pPr>
        <w:pStyle w:val="AB-Nr"/>
      </w:pPr>
      <w:r>
        <w:rPr>
          <w:noProof/>
          <w:lang w:eastAsia="de-DE"/>
        </w:rPr>
        <w:lastRenderedPageBreak/>
        <w:drawing>
          <wp:anchor distT="0" distB="0" distL="114300" distR="114300" simplePos="0" relativeHeight="251687936" behindDoc="0" locked="0" layoutInCell="1" allowOverlap="1">
            <wp:simplePos x="0" y="0"/>
            <wp:positionH relativeFrom="margin">
              <wp:posOffset>4296910</wp:posOffset>
            </wp:positionH>
            <wp:positionV relativeFrom="paragraph">
              <wp:posOffset>392</wp:posOffset>
            </wp:positionV>
            <wp:extent cx="1767600" cy="975600"/>
            <wp:effectExtent l="0" t="0" r="4445" b="0"/>
            <wp:wrapThrough wrapText="bothSides">
              <wp:wrapPolygon edited="0">
                <wp:start x="0" y="0"/>
                <wp:lineTo x="0" y="21094"/>
                <wp:lineTo x="21421" y="21094"/>
                <wp:lineTo x="21421"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nd_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7600" cy="975600"/>
                    </a:xfrm>
                    <a:prstGeom prst="rect">
                      <a:avLst/>
                    </a:prstGeom>
                  </pic:spPr>
                </pic:pic>
              </a:graphicData>
            </a:graphic>
            <wp14:sizeRelH relativeFrom="margin">
              <wp14:pctWidth>0</wp14:pctWidth>
            </wp14:sizeRelH>
            <wp14:sizeRelV relativeFrom="margin">
              <wp14:pctHeight>0</wp14:pctHeight>
            </wp14:sizeRelV>
          </wp:anchor>
        </w:drawing>
      </w:r>
      <w:r w:rsidR="00F337BA">
        <w:t>M-5-2</w:t>
      </w:r>
    </w:p>
    <w:p w:rsidR="00F337BA" w:rsidRPr="00925EB2" w:rsidRDefault="00F337BA" w:rsidP="00F337BA">
      <w:pPr>
        <w:rPr>
          <w:b/>
          <w:bCs/>
          <w:sz w:val="32"/>
          <w:szCs w:val="32"/>
        </w:rPr>
      </w:pPr>
      <w:r w:rsidRPr="00925EB2">
        <w:rPr>
          <w:b/>
          <w:bCs/>
          <w:sz w:val="32"/>
          <w:szCs w:val="32"/>
        </w:rPr>
        <w:t>Statistik-</w:t>
      </w:r>
      <w:r>
        <w:rPr>
          <w:b/>
          <w:bCs/>
          <w:sz w:val="32"/>
          <w:szCs w:val="32"/>
        </w:rPr>
        <w:t>Blatt</w:t>
      </w:r>
      <w:r w:rsidRPr="00925EB2">
        <w:rPr>
          <w:b/>
          <w:bCs/>
          <w:sz w:val="32"/>
          <w:szCs w:val="32"/>
        </w:rPr>
        <w:t xml:space="preserve"> erstellen:</w:t>
      </w:r>
    </w:p>
    <w:p w:rsidR="00F337BA" w:rsidRDefault="00F337BA" w:rsidP="00F337BA">
      <w:pPr>
        <w:rPr>
          <w:b/>
          <w:bCs/>
          <w:sz w:val="32"/>
          <w:szCs w:val="32"/>
        </w:rPr>
      </w:pPr>
      <w:r>
        <w:rPr>
          <w:b/>
          <w:bCs/>
          <w:sz w:val="32"/>
          <w:szCs w:val="32"/>
        </w:rPr>
        <w:t>Die Ernährungslage recherchieren!</w:t>
      </w:r>
    </w:p>
    <w:p w:rsidR="00F337BA" w:rsidRDefault="00F337BA" w:rsidP="00F337BA"/>
    <w:p w:rsidR="00F337BA" w:rsidRDefault="00F337BA" w:rsidP="00F337BA"/>
    <w:p w:rsidR="00F337BA" w:rsidRDefault="00F337BA" w:rsidP="00F337BA"/>
    <w:tbl>
      <w:tblPr>
        <w:tblStyle w:val="Tabellenraster"/>
        <w:tblW w:w="0" w:type="auto"/>
        <w:tblCellMar>
          <w:top w:w="113" w:type="dxa"/>
          <w:bottom w:w="113" w:type="dxa"/>
        </w:tblCellMar>
        <w:tblLook w:val="04A0" w:firstRow="1" w:lastRow="0" w:firstColumn="1" w:lastColumn="0" w:noHBand="0" w:noVBand="1"/>
      </w:tblPr>
      <w:tblGrid>
        <w:gridCol w:w="4680"/>
        <w:gridCol w:w="970"/>
        <w:gridCol w:w="3978"/>
      </w:tblGrid>
      <w:tr w:rsidR="00F337BA" w:rsidTr="00F337BA">
        <w:tc>
          <w:tcPr>
            <w:tcW w:w="4815" w:type="dxa"/>
          </w:tcPr>
          <w:p w:rsidR="00F337BA" w:rsidRPr="00766703" w:rsidRDefault="00F337BA" w:rsidP="002C7DB1">
            <w:pPr>
              <w:rPr>
                <w:b/>
                <w:bCs/>
                <w:sz w:val="32"/>
                <w:szCs w:val="32"/>
              </w:rPr>
            </w:pPr>
            <w:r w:rsidRPr="00766703">
              <w:rPr>
                <w:b/>
                <w:bCs/>
                <w:sz w:val="32"/>
                <w:szCs w:val="32"/>
              </w:rPr>
              <w:t>Land</w:t>
            </w:r>
          </w:p>
        </w:tc>
        <w:tc>
          <w:tcPr>
            <w:tcW w:w="992" w:type="dxa"/>
          </w:tcPr>
          <w:p w:rsidR="00F337BA" w:rsidRDefault="00F337BA" w:rsidP="002C7DB1">
            <w:pPr>
              <w:jc w:val="center"/>
            </w:pPr>
          </w:p>
        </w:tc>
        <w:tc>
          <w:tcPr>
            <w:tcW w:w="4111" w:type="dxa"/>
          </w:tcPr>
          <w:p w:rsidR="00F337BA" w:rsidRDefault="00F337BA" w:rsidP="002C7DB1"/>
        </w:tc>
      </w:tr>
      <w:tr w:rsidR="00F337BA" w:rsidTr="00F337BA">
        <w:tc>
          <w:tcPr>
            <w:tcW w:w="4815" w:type="dxa"/>
          </w:tcPr>
          <w:p w:rsidR="00F337BA" w:rsidRDefault="00F337BA" w:rsidP="002C7DB1">
            <w:r>
              <w:t>Anzahl Hungernde</w:t>
            </w:r>
          </w:p>
        </w:tc>
        <w:tc>
          <w:tcPr>
            <w:tcW w:w="992" w:type="dxa"/>
          </w:tcPr>
          <w:p w:rsidR="00F337BA" w:rsidRDefault="00F337BA" w:rsidP="002C7DB1">
            <w:pPr>
              <w:jc w:val="center"/>
            </w:pPr>
            <w:r>
              <w:t>1</w:t>
            </w:r>
          </w:p>
        </w:tc>
        <w:tc>
          <w:tcPr>
            <w:tcW w:w="4111" w:type="dxa"/>
          </w:tcPr>
          <w:p w:rsidR="00F337BA" w:rsidRDefault="00F337BA" w:rsidP="002C7DB1"/>
        </w:tc>
      </w:tr>
      <w:tr w:rsidR="00F337BA" w:rsidTr="00F337BA">
        <w:tc>
          <w:tcPr>
            <w:tcW w:w="4815" w:type="dxa"/>
          </w:tcPr>
          <w:p w:rsidR="00F337BA" w:rsidRDefault="00F337BA" w:rsidP="002C7DB1">
            <w:r>
              <w:t>Anteil der Hungernden</w:t>
            </w:r>
          </w:p>
        </w:tc>
        <w:tc>
          <w:tcPr>
            <w:tcW w:w="992" w:type="dxa"/>
          </w:tcPr>
          <w:p w:rsidR="00F337BA" w:rsidRDefault="00F337BA" w:rsidP="002C7DB1">
            <w:pPr>
              <w:jc w:val="center"/>
            </w:pPr>
            <w:r>
              <w:t>2</w:t>
            </w:r>
          </w:p>
        </w:tc>
        <w:tc>
          <w:tcPr>
            <w:tcW w:w="4111" w:type="dxa"/>
          </w:tcPr>
          <w:p w:rsidR="00F337BA" w:rsidRDefault="00F337BA" w:rsidP="002C7DB1"/>
        </w:tc>
      </w:tr>
      <w:tr w:rsidR="00F337BA" w:rsidTr="00F337BA">
        <w:tc>
          <w:tcPr>
            <w:tcW w:w="4815" w:type="dxa"/>
          </w:tcPr>
          <w:p w:rsidR="00F337BA" w:rsidRDefault="00F337BA" w:rsidP="002C7DB1">
            <w:r>
              <w:t>Anzahl der Fehlernährten</w:t>
            </w:r>
          </w:p>
        </w:tc>
        <w:tc>
          <w:tcPr>
            <w:tcW w:w="992" w:type="dxa"/>
          </w:tcPr>
          <w:p w:rsidR="00F337BA" w:rsidRDefault="00F337BA" w:rsidP="002C7DB1">
            <w:pPr>
              <w:jc w:val="center"/>
            </w:pPr>
            <w:r>
              <w:t>3</w:t>
            </w:r>
          </w:p>
        </w:tc>
        <w:tc>
          <w:tcPr>
            <w:tcW w:w="4111" w:type="dxa"/>
          </w:tcPr>
          <w:p w:rsidR="00F337BA" w:rsidRDefault="00F337BA" w:rsidP="002C7DB1"/>
        </w:tc>
      </w:tr>
      <w:tr w:rsidR="00F337BA" w:rsidTr="00F337BA">
        <w:tc>
          <w:tcPr>
            <w:tcW w:w="4815" w:type="dxa"/>
          </w:tcPr>
          <w:p w:rsidR="00F337BA" w:rsidRDefault="00F337BA" w:rsidP="002C7DB1">
            <w:r>
              <w:t>Anteil der Fehlernährten</w:t>
            </w:r>
          </w:p>
        </w:tc>
        <w:tc>
          <w:tcPr>
            <w:tcW w:w="992" w:type="dxa"/>
          </w:tcPr>
          <w:p w:rsidR="00F337BA" w:rsidRDefault="00F337BA" w:rsidP="002C7DB1">
            <w:pPr>
              <w:jc w:val="center"/>
            </w:pPr>
            <w:r>
              <w:t>4</w:t>
            </w:r>
          </w:p>
        </w:tc>
        <w:tc>
          <w:tcPr>
            <w:tcW w:w="4111" w:type="dxa"/>
          </w:tcPr>
          <w:p w:rsidR="00F337BA" w:rsidRDefault="00F337BA" w:rsidP="002C7DB1"/>
        </w:tc>
      </w:tr>
      <w:tr w:rsidR="00F337BA" w:rsidTr="00F337BA">
        <w:tc>
          <w:tcPr>
            <w:tcW w:w="4815" w:type="dxa"/>
          </w:tcPr>
          <w:p w:rsidR="00F337BA" w:rsidRDefault="00F337BA" w:rsidP="002C7DB1">
            <w:r>
              <w:t>Anzahl der adipösen Erwachsenen</w:t>
            </w:r>
          </w:p>
        </w:tc>
        <w:tc>
          <w:tcPr>
            <w:tcW w:w="992" w:type="dxa"/>
          </w:tcPr>
          <w:p w:rsidR="00F337BA" w:rsidRDefault="00F337BA" w:rsidP="002C7DB1">
            <w:pPr>
              <w:jc w:val="center"/>
            </w:pPr>
            <w:r>
              <w:t>5</w:t>
            </w:r>
          </w:p>
        </w:tc>
        <w:tc>
          <w:tcPr>
            <w:tcW w:w="4111" w:type="dxa"/>
          </w:tcPr>
          <w:p w:rsidR="00F337BA" w:rsidRDefault="00F337BA" w:rsidP="002C7DB1"/>
        </w:tc>
      </w:tr>
      <w:tr w:rsidR="00F337BA" w:rsidTr="00F337BA">
        <w:tc>
          <w:tcPr>
            <w:tcW w:w="4815" w:type="dxa"/>
          </w:tcPr>
          <w:p w:rsidR="00F337BA" w:rsidRDefault="00F337BA" w:rsidP="002C7DB1">
            <w:r>
              <w:t>Anteil der adipösen Erwachsenen</w:t>
            </w:r>
          </w:p>
        </w:tc>
        <w:tc>
          <w:tcPr>
            <w:tcW w:w="992" w:type="dxa"/>
          </w:tcPr>
          <w:p w:rsidR="00F337BA" w:rsidRDefault="00F337BA" w:rsidP="002C7DB1">
            <w:pPr>
              <w:jc w:val="center"/>
            </w:pPr>
            <w:r>
              <w:t>6</w:t>
            </w:r>
          </w:p>
        </w:tc>
        <w:tc>
          <w:tcPr>
            <w:tcW w:w="4111" w:type="dxa"/>
          </w:tcPr>
          <w:p w:rsidR="00F337BA" w:rsidRDefault="00F337BA" w:rsidP="002C7DB1"/>
        </w:tc>
      </w:tr>
    </w:tbl>
    <w:p w:rsidR="00F337BA" w:rsidRDefault="00F337BA" w:rsidP="00F337BA"/>
    <w:p w:rsidR="00F337BA" w:rsidRDefault="00F337BA" w:rsidP="00F337BA">
      <w:r w:rsidRPr="00A538C4">
        <w:rPr>
          <w:b/>
          <w:bCs/>
        </w:rPr>
        <w:t>Fehlernährung:</w:t>
      </w:r>
      <w:r>
        <w:t xml:space="preserve"> Unter Fehlernährung wird eine quantitativ oder qualitativ unzureichende Ernährung verstanden, welche die FAO als eine „Ernährung in (moderater oder ernster) Ernährungsunsicherheit“ (moderate </w:t>
      </w:r>
      <w:proofErr w:type="spellStart"/>
      <w:r>
        <w:t>or</w:t>
      </w:r>
      <w:proofErr w:type="spellEnd"/>
      <w:r>
        <w:t xml:space="preserve"> </w:t>
      </w:r>
      <w:proofErr w:type="spellStart"/>
      <w:r>
        <w:t>severe</w:t>
      </w:r>
      <w:proofErr w:type="spellEnd"/>
      <w:r>
        <w:t xml:space="preserve"> </w:t>
      </w:r>
      <w:proofErr w:type="spellStart"/>
      <w:r>
        <w:t>food</w:t>
      </w:r>
      <w:proofErr w:type="spellEnd"/>
      <w:r>
        <w:t xml:space="preserve"> </w:t>
      </w:r>
      <w:proofErr w:type="spellStart"/>
      <w:r>
        <w:t>insecurity</w:t>
      </w:r>
      <w:proofErr w:type="spellEnd"/>
      <w:r>
        <w:t>) bezeichnet.</w:t>
      </w:r>
    </w:p>
    <w:p w:rsidR="00F337BA" w:rsidRDefault="00F337BA" w:rsidP="00F337BA"/>
    <w:p w:rsidR="00F337BA" w:rsidRDefault="00F337BA" w:rsidP="00F337BA">
      <w:proofErr w:type="spellStart"/>
      <w:r w:rsidRPr="004A722C">
        <w:rPr>
          <w:b/>
          <w:bCs/>
        </w:rPr>
        <w:t>Obesity</w:t>
      </w:r>
      <w:proofErr w:type="spellEnd"/>
      <w:r>
        <w:t xml:space="preserve">: Meist mit Adipositas oder Fettleibigkeit übersetzt. Sie betrifft Menschen mit einem </w:t>
      </w:r>
      <w:proofErr w:type="spellStart"/>
      <w:r>
        <w:t>BMI</w:t>
      </w:r>
      <w:proofErr w:type="spellEnd"/>
      <w:r>
        <w:t xml:space="preserve"> (Body </w:t>
      </w:r>
      <w:proofErr w:type="spellStart"/>
      <w:r>
        <w:t>Mass</w:t>
      </w:r>
      <w:proofErr w:type="spellEnd"/>
      <w:r>
        <w:t xml:space="preserve"> Index) ab 30.</w:t>
      </w:r>
    </w:p>
    <w:p w:rsidR="00F337BA" w:rsidRDefault="00F337BA" w:rsidP="00F337BA"/>
    <w:p w:rsidR="00F337BA" w:rsidRDefault="00F337BA" w:rsidP="00F337BA">
      <w:r w:rsidRPr="00A538C4">
        <w:rPr>
          <w:b/>
          <w:bCs/>
        </w:rPr>
        <w:t>Datenquelle:</w:t>
      </w:r>
      <w:r>
        <w:t xml:space="preserve"> FAO et al.: The State </w:t>
      </w:r>
      <w:proofErr w:type="spellStart"/>
      <w:r>
        <w:t>of</w:t>
      </w:r>
      <w:proofErr w:type="spellEnd"/>
      <w:r>
        <w:t xml:space="preserve"> Food Security </w:t>
      </w:r>
      <w:proofErr w:type="spellStart"/>
      <w:r>
        <w:t>and</w:t>
      </w:r>
      <w:proofErr w:type="spellEnd"/>
      <w:r>
        <w:t xml:space="preserve"> Nutrition in </w:t>
      </w:r>
      <w:proofErr w:type="spellStart"/>
      <w:r>
        <w:t>the</w:t>
      </w:r>
      <w:proofErr w:type="spellEnd"/>
      <w:r>
        <w:t xml:space="preserve"> World.</w:t>
      </w:r>
    </w:p>
    <w:p w:rsidR="00F337BA" w:rsidRDefault="00F337BA" w:rsidP="00F337BA">
      <w:r>
        <w:t>Dieser Bericht erscheint jedes Jahr. Im Anhang hinten gibt es statistische Tabellen, in denen die einzelnen Staaten aufgeführt sind. Tabelle A1.1 gibt den Anteil der einzelnen Personengruppen an der Gesamtbevölkerung wieder. Tabelle A1.2 gibt die Anzahl der Menschen wieder, auf die das jeweilige Merkmal zutrifft.</w:t>
      </w:r>
    </w:p>
    <w:p w:rsidR="00F337BA" w:rsidRDefault="00F337BA" w:rsidP="00F337BA"/>
    <w:p w:rsidR="00F337BA" w:rsidRDefault="00F337BA" w:rsidP="00F337BA">
      <w:r>
        <w:rPr>
          <w:b/>
          <w:bCs/>
        </w:rPr>
        <w:t>Bezugspunkte</w:t>
      </w:r>
      <w:r>
        <w:t xml:space="preserve"> in der FAO-Statistik:</w:t>
      </w:r>
    </w:p>
    <w:p w:rsidR="00F337BA" w:rsidRDefault="00F337BA" w:rsidP="00F337BA">
      <w:pPr>
        <w:pStyle w:val="Listenabsatz"/>
        <w:numPr>
          <w:ilvl w:val="0"/>
          <w:numId w:val="15"/>
        </w:numPr>
      </w:pPr>
      <w:proofErr w:type="spellStart"/>
      <w:r>
        <w:t>Number</w:t>
      </w:r>
      <w:proofErr w:type="spellEnd"/>
      <w:r>
        <w:t xml:space="preserve"> </w:t>
      </w:r>
      <w:proofErr w:type="spellStart"/>
      <w:r>
        <w:t>of</w:t>
      </w:r>
      <w:proofErr w:type="spellEnd"/>
      <w:r>
        <w:t xml:space="preserve"> </w:t>
      </w:r>
      <w:proofErr w:type="spellStart"/>
      <w:r>
        <w:t>undernourished</w:t>
      </w:r>
      <w:proofErr w:type="spellEnd"/>
      <w:r>
        <w:t xml:space="preserve"> People (A1.2)</w:t>
      </w:r>
    </w:p>
    <w:p w:rsidR="00F337BA" w:rsidRDefault="00F337BA" w:rsidP="00F337BA">
      <w:pPr>
        <w:pStyle w:val="Listenabsatz"/>
        <w:numPr>
          <w:ilvl w:val="0"/>
          <w:numId w:val="15"/>
        </w:numPr>
      </w:pPr>
      <w:proofErr w:type="spellStart"/>
      <w:r>
        <w:t>Prevalence</w:t>
      </w:r>
      <w:proofErr w:type="spellEnd"/>
      <w:r>
        <w:t xml:space="preserve"> </w:t>
      </w:r>
      <w:proofErr w:type="spellStart"/>
      <w:r>
        <w:t>of</w:t>
      </w:r>
      <w:proofErr w:type="spellEnd"/>
      <w:r>
        <w:t xml:space="preserve"> </w:t>
      </w:r>
      <w:proofErr w:type="spellStart"/>
      <w:r>
        <w:t>undernourishment</w:t>
      </w:r>
      <w:proofErr w:type="spellEnd"/>
      <w:r>
        <w:t xml:space="preserve"> in </w:t>
      </w:r>
      <w:proofErr w:type="spellStart"/>
      <w:r>
        <w:t>the</w:t>
      </w:r>
      <w:proofErr w:type="spellEnd"/>
      <w:r>
        <w:t xml:space="preserve"> total </w:t>
      </w:r>
      <w:proofErr w:type="spellStart"/>
      <w:r>
        <w:t>population</w:t>
      </w:r>
      <w:proofErr w:type="spellEnd"/>
      <w:r>
        <w:t xml:space="preserve"> (A1.1)</w:t>
      </w:r>
    </w:p>
    <w:p w:rsidR="00F337BA" w:rsidRDefault="00F337BA" w:rsidP="00F337BA">
      <w:pPr>
        <w:pStyle w:val="Listenabsatz"/>
        <w:numPr>
          <w:ilvl w:val="0"/>
          <w:numId w:val="15"/>
        </w:numPr>
      </w:pPr>
      <w:proofErr w:type="spellStart"/>
      <w:r>
        <w:t>Number</w:t>
      </w:r>
      <w:proofErr w:type="spellEnd"/>
      <w:r>
        <w:t xml:space="preserve"> </w:t>
      </w:r>
      <w:proofErr w:type="spellStart"/>
      <w:r>
        <w:t>of</w:t>
      </w:r>
      <w:proofErr w:type="spellEnd"/>
      <w:r>
        <w:t xml:space="preserve"> </w:t>
      </w:r>
      <w:proofErr w:type="spellStart"/>
      <w:r>
        <w:t>moderatel</w:t>
      </w:r>
      <w:r w:rsidR="008911F6">
        <w:t>y</w:t>
      </w:r>
      <w:proofErr w:type="spellEnd"/>
      <w:r w:rsidR="008911F6">
        <w:t xml:space="preserve"> </w:t>
      </w:r>
      <w:proofErr w:type="spellStart"/>
      <w:r w:rsidR="008911F6">
        <w:t>or</w:t>
      </w:r>
      <w:proofErr w:type="spellEnd"/>
      <w:r w:rsidR="008911F6">
        <w:t xml:space="preserve"> </w:t>
      </w:r>
      <w:proofErr w:type="spellStart"/>
      <w:r w:rsidR="008911F6">
        <w:t>severely</w:t>
      </w:r>
      <w:proofErr w:type="spellEnd"/>
      <w:r w:rsidR="008911F6">
        <w:t xml:space="preserve"> </w:t>
      </w:r>
      <w:proofErr w:type="spellStart"/>
      <w:r w:rsidR="008911F6">
        <w:t>food</w:t>
      </w:r>
      <w:proofErr w:type="spellEnd"/>
      <w:r w:rsidR="008911F6">
        <w:t xml:space="preserve"> </w:t>
      </w:r>
      <w:proofErr w:type="spellStart"/>
      <w:r w:rsidR="008911F6">
        <w:t>insecure</w:t>
      </w:r>
      <w:proofErr w:type="spellEnd"/>
      <w:r w:rsidR="008911F6">
        <w:t xml:space="preserve"> </w:t>
      </w:r>
      <w:proofErr w:type="spellStart"/>
      <w:r w:rsidR="008911F6">
        <w:t>peo</w:t>
      </w:r>
      <w:r>
        <w:t>ple</w:t>
      </w:r>
      <w:proofErr w:type="spellEnd"/>
      <w:r>
        <w:t xml:space="preserve"> (A1.2)</w:t>
      </w:r>
    </w:p>
    <w:p w:rsidR="00F337BA" w:rsidRDefault="00F337BA" w:rsidP="00F337BA">
      <w:pPr>
        <w:pStyle w:val="Listenabsatz"/>
        <w:numPr>
          <w:ilvl w:val="0"/>
          <w:numId w:val="15"/>
        </w:numPr>
      </w:pPr>
      <w:proofErr w:type="spellStart"/>
      <w:r>
        <w:t>Prevalence</w:t>
      </w:r>
      <w:proofErr w:type="spellEnd"/>
      <w:r>
        <w:t xml:space="preserve"> </w:t>
      </w:r>
      <w:proofErr w:type="spellStart"/>
      <w:r>
        <w:t>of</w:t>
      </w:r>
      <w:proofErr w:type="spellEnd"/>
      <w:r>
        <w:t xml:space="preserve"> moderate </w:t>
      </w:r>
      <w:proofErr w:type="spellStart"/>
      <w:r>
        <w:t>or</w:t>
      </w:r>
      <w:proofErr w:type="spellEnd"/>
      <w:r>
        <w:t xml:space="preserve"> </w:t>
      </w:r>
      <w:proofErr w:type="spellStart"/>
      <w:r>
        <w:t>severe</w:t>
      </w:r>
      <w:proofErr w:type="spellEnd"/>
      <w:r>
        <w:t xml:space="preserve"> </w:t>
      </w:r>
      <w:proofErr w:type="spellStart"/>
      <w:r>
        <w:t>food</w:t>
      </w:r>
      <w:proofErr w:type="spellEnd"/>
      <w:r>
        <w:t xml:space="preserve"> </w:t>
      </w:r>
      <w:proofErr w:type="spellStart"/>
      <w:r>
        <w:t>insecurity</w:t>
      </w:r>
      <w:proofErr w:type="spellEnd"/>
      <w:r>
        <w:t xml:space="preserve"> in </w:t>
      </w:r>
      <w:proofErr w:type="spellStart"/>
      <w:r>
        <w:t>the</w:t>
      </w:r>
      <w:proofErr w:type="spellEnd"/>
      <w:r>
        <w:t xml:space="preserve"> total </w:t>
      </w:r>
      <w:proofErr w:type="spellStart"/>
      <w:r>
        <w:t>population</w:t>
      </w:r>
      <w:proofErr w:type="spellEnd"/>
      <w:r>
        <w:t xml:space="preserve"> (A1.1)</w:t>
      </w:r>
    </w:p>
    <w:p w:rsidR="00F337BA" w:rsidRDefault="008911F6" w:rsidP="00F337BA">
      <w:pPr>
        <w:pStyle w:val="Listenabsatz"/>
        <w:numPr>
          <w:ilvl w:val="0"/>
          <w:numId w:val="15"/>
        </w:numPr>
      </w:pPr>
      <w:proofErr w:type="spellStart"/>
      <w:r>
        <w:t>Number</w:t>
      </w:r>
      <w:proofErr w:type="spellEnd"/>
      <w:r>
        <w:t xml:space="preserve"> </w:t>
      </w:r>
      <w:proofErr w:type="spellStart"/>
      <w:r>
        <w:t>of</w:t>
      </w:r>
      <w:proofErr w:type="spellEnd"/>
      <w:r>
        <w:t xml:space="preserve"> </w:t>
      </w:r>
      <w:proofErr w:type="spellStart"/>
      <w:r>
        <w:t>adults</w:t>
      </w:r>
      <w:proofErr w:type="spellEnd"/>
      <w:r>
        <w:t xml:space="preserve"> (18 </w:t>
      </w:r>
      <w:proofErr w:type="spellStart"/>
      <w:r>
        <w:t>ye</w:t>
      </w:r>
      <w:r w:rsidR="00F337BA">
        <w:t>a</w:t>
      </w:r>
      <w:r>
        <w:t>r</w:t>
      </w:r>
      <w:r w:rsidR="00F337BA">
        <w:t>s</w:t>
      </w:r>
      <w:proofErr w:type="spellEnd"/>
      <w:r w:rsidR="00F337BA">
        <w:t xml:space="preserve"> </w:t>
      </w:r>
      <w:proofErr w:type="spellStart"/>
      <w:r w:rsidR="00F337BA">
        <w:t>and</w:t>
      </w:r>
      <w:proofErr w:type="spellEnd"/>
      <w:r w:rsidR="00F337BA">
        <w:t xml:space="preserve"> </w:t>
      </w:r>
      <w:proofErr w:type="spellStart"/>
      <w:r w:rsidR="00F337BA">
        <w:t>older</w:t>
      </w:r>
      <w:proofErr w:type="spellEnd"/>
      <w:r w:rsidR="00F337BA">
        <w:t xml:space="preserve">) </w:t>
      </w:r>
      <w:proofErr w:type="spellStart"/>
      <w:r w:rsidR="00F337BA">
        <w:t>who</w:t>
      </w:r>
      <w:proofErr w:type="spellEnd"/>
      <w:r w:rsidR="00F337BA">
        <w:t xml:space="preserve"> </w:t>
      </w:r>
      <w:proofErr w:type="spellStart"/>
      <w:r w:rsidR="00F337BA">
        <w:t>are</w:t>
      </w:r>
      <w:proofErr w:type="spellEnd"/>
      <w:r w:rsidR="00F337BA">
        <w:t xml:space="preserve"> </w:t>
      </w:r>
      <w:proofErr w:type="spellStart"/>
      <w:r w:rsidR="00F337BA">
        <w:t>obese</w:t>
      </w:r>
      <w:proofErr w:type="spellEnd"/>
      <w:r w:rsidR="00F337BA">
        <w:t xml:space="preserve"> (A1.2)</w:t>
      </w:r>
    </w:p>
    <w:p w:rsidR="00F337BA" w:rsidRDefault="00F337BA" w:rsidP="00F337BA">
      <w:pPr>
        <w:pStyle w:val="Listenabsatz"/>
        <w:numPr>
          <w:ilvl w:val="0"/>
          <w:numId w:val="15"/>
        </w:numPr>
      </w:pPr>
      <w:proofErr w:type="spellStart"/>
      <w:r>
        <w:t>Prevalence</w:t>
      </w:r>
      <w:proofErr w:type="spellEnd"/>
      <w:r>
        <w:t xml:space="preserve"> </w:t>
      </w:r>
      <w:proofErr w:type="spellStart"/>
      <w:r>
        <w:t>of</w:t>
      </w:r>
      <w:proofErr w:type="spellEnd"/>
      <w:r>
        <w:t xml:space="preserve"> </w:t>
      </w:r>
      <w:proofErr w:type="spellStart"/>
      <w:r w:rsidR="008911F6">
        <w:t>o</w:t>
      </w:r>
      <w:r>
        <w:t>besity</w:t>
      </w:r>
      <w:proofErr w:type="spellEnd"/>
      <w:r>
        <w:t xml:space="preserve"> in </w:t>
      </w:r>
      <w:proofErr w:type="spellStart"/>
      <w:r>
        <w:t>the</w:t>
      </w:r>
      <w:proofErr w:type="spellEnd"/>
      <w:r>
        <w:t xml:space="preserve"> adult </w:t>
      </w:r>
      <w:proofErr w:type="spellStart"/>
      <w:r>
        <w:t>population</w:t>
      </w:r>
      <w:proofErr w:type="spellEnd"/>
      <w:r>
        <w:t xml:space="preserve"> (A1.1)</w:t>
      </w:r>
    </w:p>
    <w:p w:rsidR="00F337BA" w:rsidRDefault="00F337BA" w:rsidP="00F337BA"/>
    <w:p w:rsidR="00F337BA" w:rsidRDefault="00F337BA" w:rsidP="00F337BA">
      <w:r w:rsidRPr="006C793E">
        <w:rPr>
          <w:b/>
          <w:bCs/>
        </w:rPr>
        <w:t>Hinweis</w:t>
      </w:r>
      <w:r>
        <w:t>: Leider gibt es von der FAO nicht zu allen Ländern und Indikatoren die entsprechenden statistischen Zahlen.</w:t>
      </w:r>
    </w:p>
    <w:p w:rsidR="007E78B2" w:rsidRDefault="00F337BA" w:rsidP="00F337BA">
      <w:pPr>
        <w:pStyle w:val="Textkrper"/>
      </w:pPr>
      <w:r>
        <w:t>Zahlen zum Anteil der Unterernährten an der Gesamtbevölkerung kann man auch dem Welt</w:t>
      </w:r>
      <w:r>
        <w:softHyphen/>
        <w:t>hunger</w:t>
      </w:r>
      <w:r>
        <w:softHyphen/>
        <w:t>index (Statistikteil D) entnehmen, der ebenfalls jährlich erscheint und auf der Website der Welthungerhilfe zu finden ist.</w:t>
      </w:r>
    </w:p>
    <w:p w:rsidR="0084238C" w:rsidRDefault="0084238C" w:rsidP="00104AE8">
      <w:pPr>
        <w:pStyle w:val="AB-Nr"/>
      </w:pPr>
      <w:r w:rsidRPr="00104AE8">
        <w:lastRenderedPageBreak/>
        <w:t>M-5-</w:t>
      </w:r>
      <w:r w:rsidR="00104AE8">
        <w:t>3</w:t>
      </w:r>
    </w:p>
    <w:p w:rsidR="00104AE8" w:rsidRDefault="00104AE8" w:rsidP="00104AE8">
      <w:proofErr w:type="spellStart"/>
      <w:r>
        <w:rPr>
          <w:b/>
          <w:bCs/>
          <w:color w:val="C00000"/>
          <w:sz w:val="40"/>
          <w:szCs w:val="40"/>
        </w:rPr>
        <w:t>Factsheet</w:t>
      </w:r>
      <w:proofErr w:type="spellEnd"/>
      <w:r>
        <w:rPr>
          <w:b/>
          <w:bCs/>
          <w:color w:val="C00000"/>
          <w:sz w:val="40"/>
          <w:szCs w:val="40"/>
        </w:rPr>
        <w:t xml:space="preserve"> Brasilien</w:t>
      </w:r>
    </w:p>
    <w:p w:rsidR="00104AE8" w:rsidRDefault="00FE3E22" w:rsidP="00104AE8">
      <w:r>
        <w:rPr>
          <w:noProof/>
          <w:lang w:eastAsia="de-DE"/>
        </w:rPr>
        <w:drawing>
          <wp:anchor distT="0" distB="0" distL="114300" distR="114300" simplePos="0" relativeHeight="251669504" behindDoc="0" locked="0" layoutInCell="1" allowOverlap="1">
            <wp:simplePos x="0" y="0"/>
            <wp:positionH relativeFrom="margin">
              <wp:align>right</wp:align>
            </wp:positionH>
            <wp:positionV relativeFrom="page">
              <wp:posOffset>1260475</wp:posOffset>
            </wp:positionV>
            <wp:extent cx="1238400" cy="738000"/>
            <wp:effectExtent l="0" t="0" r="0" b="508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400" cy="738000"/>
                    </a:xfrm>
                    <a:prstGeom prst="rect">
                      <a:avLst/>
                    </a:prstGeom>
                    <a:noFill/>
                  </pic:spPr>
                </pic:pic>
              </a:graphicData>
            </a:graphic>
            <wp14:sizeRelH relativeFrom="margin">
              <wp14:pctWidth>0</wp14:pctWidth>
            </wp14:sizeRelH>
            <wp14:sizeRelV relativeFrom="margin">
              <wp14:pctHeight>0</wp14:pctHeight>
            </wp14:sizeRelV>
          </wp:anchor>
        </w:drawing>
      </w:r>
    </w:p>
    <w:p w:rsidR="00104AE8" w:rsidRDefault="00104AE8" w:rsidP="00104AE8"/>
    <w:p w:rsidR="00104AE8" w:rsidRDefault="00104AE8" w:rsidP="00104AE8"/>
    <w:p w:rsidR="00104AE8" w:rsidRDefault="00104AE8" w:rsidP="00104AE8"/>
    <w:p w:rsidR="00FE3E22" w:rsidRDefault="00FE3E22" w:rsidP="00104AE8"/>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809"/>
      </w:tblGrid>
      <w:tr w:rsidR="00104AE8" w:rsidTr="006D45A4">
        <w:trPr>
          <w:trHeight w:val="340"/>
        </w:trPr>
        <w:tc>
          <w:tcPr>
            <w:tcW w:w="8075" w:type="dxa"/>
            <w:shd w:val="clear" w:color="auto" w:fill="BDD6EE" w:themeFill="accent1" w:themeFillTint="66"/>
            <w:vAlign w:val="center"/>
            <w:hideMark/>
          </w:tcPr>
          <w:p w:rsidR="00104AE8" w:rsidRDefault="00104AE8" w:rsidP="002C7DB1">
            <w:r>
              <w:t>Bevölkerung</w:t>
            </w:r>
            <w:r>
              <w:rPr>
                <w:rStyle w:val="Funotenzeichen"/>
              </w:rPr>
              <w:footnoteReference w:id="1"/>
            </w:r>
          </w:p>
        </w:tc>
        <w:tc>
          <w:tcPr>
            <w:tcW w:w="1843" w:type="dxa"/>
            <w:shd w:val="clear" w:color="auto" w:fill="BDD6EE" w:themeFill="accent1" w:themeFillTint="66"/>
            <w:vAlign w:val="center"/>
            <w:hideMark/>
          </w:tcPr>
          <w:p w:rsidR="00104AE8" w:rsidRDefault="00104AE8" w:rsidP="002C7DB1">
            <w:r>
              <w:t>209,5 Mio.</w:t>
            </w:r>
          </w:p>
        </w:tc>
      </w:tr>
      <w:tr w:rsidR="00104AE8" w:rsidTr="006D45A4">
        <w:trPr>
          <w:trHeight w:val="340"/>
        </w:trPr>
        <w:tc>
          <w:tcPr>
            <w:tcW w:w="8075" w:type="dxa"/>
            <w:vAlign w:val="center"/>
            <w:hideMark/>
          </w:tcPr>
          <w:p w:rsidR="00104AE8" w:rsidRDefault="00104AE8" w:rsidP="002C7DB1">
            <w:r>
              <w:t>Lebenserwartung</w:t>
            </w:r>
          </w:p>
        </w:tc>
        <w:tc>
          <w:tcPr>
            <w:tcW w:w="1843" w:type="dxa"/>
            <w:vAlign w:val="center"/>
            <w:hideMark/>
          </w:tcPr>
          <w:p w:rsidR="00104AE8" w:rsidRDefault="00104AE8" w:rsidP="002C7DB1">
            <w:r>
              <w:t>75,7 Jahre</w:t>
            </w:r>
          </w:p>
        </w:tc>
      </w:tr>
      <w:tr w:rsidR="00104AE8" w:rsidTr="006D45A4">
        <w:trPr>
          <w:trHeight w:val="340"/>
        </w:trPr>
        <w:tc>
          <w:tcPr>
            <w:tcW w:w="8075" w:type="dxa"/>
            <w:shd w:val="clear" w:color="auto" w:fill="BDD6EE" w:themeFill="accent1" w:themeFillTint="66"/>
            <w:vAlign w:val="center"/>
            <w:hideMark/>
          </w:tcPr>
          <w:p w:rsidR="00104AE8" w:rsidRDefault="00104AE8" w:rsidP="002C7DB1">
            <w:r>
              <w:t xml:space="preserve">Anteil der extrem Armen (&lt; 1,90 $ </w:t>
            </w:r>
            <w:proofErr w:type="spellStart"/>
            <w:r>
              <w:t>PPP</w:t>
            </w:r>
            <w:proofErr w:type="spellEnd"/>
            <w:r>
              <w:t>/Tag)</w:t>
            </w:r>
          </w:p>
        </w:tc>
        <w:tc>
          <w:tcPr>
            <w:tcW w:w="1843" w:type="dxa"/>
            <w:shd w:val="clear" w:color="auto" w:fill="BDD6EE" w:themeFill="accent1" w:themeFillTint="66"/>
            <w:vAlign w:val="center"/>
            <w:hideMark/>
          </w:tcPr>
          <w:p w:rsidR="00104AE8" w:rsidRDefault="00104AE8" w:rsidP="002C7DB1">
            <w:r>
              <w:t>4,4%</w:t>
            </w:r>
          </w:p>
        </w:tc>
      </w:tr>
      <w:tr w:rsidR="00104AE8" w:rsidTr="006D45A4">
        <w:trPr>
          <w:trHeight w:val="340"/>
        </w:trPr>
        <w:tc>
          <w:tcPr>
            <w:tcW w:w="8075" w:type="dxa"/>
            <w:vAlign w:val="center"/>
            <w:hideMark/>
          </w:tcPr>
          <w:p w:rsidR="00104AE8" w:rsidRDefault="00104AE8" w:rsidP="002C7DB1">
            <w:r>
              <w:t>Anteil der Menschen unterhalb der nationalen Armutsgrenze</w:t>
            </w:r>
          </w:p>
        </w:tc>
        <w:tc>
          <w:tcPr>
            <w:tcW w:w="1843" w:type="dxa"/>
            <w:vAlign w:val="center"/>
            <w:hideMark/>
          </w:tcPr>
          <w:p w:rsidR="00104AE8" w:rsidRDefault="00104AE8" w:rsidP="002C7DB1">
            <w:r>
              <w:t>26,5%</w:t>
            </w:r>
          </w:p>
        </w:tc>
      </w:tr>
      <w:tr w:rsidR="00104AE8" w:rsidTr="006D45A4">
        <w:trPr>
          <w:trHeight w:val="340"/>
        </w:trPr>
        <w:tc>
          <w:tcPr>
            <w:tcW w:w="8075" w:type="dxa"/>
            <w:shd w:val="clear" w:color="auto" w:fill="BDD6EE" w:themeFill="accent1" w:themeFillTint="66"/>
            <w:vAlign w:val="center"/>
            <w:hideMark/>
          </w:tcPr>
          <w:p w:rsidR="00104AE8" w:rsidRDefault="00104AE8" w:rsidP="006D45A4">
            <w:r>
              <w:t>Anzahl der Unterernährten (2016</w:t>
            </w:r>
            <w:r w:rsidR="006D45A4">
              <w:rPr>
                <w:rFonts w:cs="Calibri"/>
              </w:rPr>
              <w:t>–</w:t>
            </w:r>
            <w:r>
              <w:t>2018)</w:t>
            </w:r>
          </w:p>
        </w:tc>
        <w:tc>
          <w:tcPr>
            <w:tcW w:w="1843" w:type="dxa"/>
            <w:shd w:val="clear" w:color="auto" w:fill="BDD6EE" w:themeFill="accent1" w:themeFillTint="66"/>
            <w:vAlign w:val="center"/>
            <w:hideMark/>
          </w:tcPr>
          <w:p w:rsidR="00104AE8" w:rsidRDefault="00104AE8" w:rsidP="002C7DB1">
            <w:proofErr w:type="spellStart"/>
            <w:r>
              <w:t>k.A</w:t>
            </w:r>
            <w:proofErr w:type="spellEnd"/>
            <w:r>
              <w:t>.</w:t>
            </w:r>
          </w:p>
        </w:tc>
      </w:tr>
      <w:tr w:rsidR="00104AE8" w:rsidTr="006D45A4">
        <w:trPr>
          <w:trHeight w:val="340"/>
        </w:trPr>
        <w:tc>
          <w:tcPr>
            <w:tcW w:w="8075" w:type="dxa"/>
            <w:vAlign w:val="center"/>
            <w:hideMark/>
          </w:tcPr>
          <w:p w:rsidR="00104AE8" w:rsidRDefault="00F84D69" w:rsidP="002C7DB1">
            <w:r>
              <w:rPr>
                <w:rFonts w:cs="Calibri"/>
              </w:rPr>
              <w:t>–</w:t>
            </w:r>
            <w:r w:rsidR="00104AE8">
              <w:t xml:space="preserve"> davon: Veränderungen 2016/18 zu 2004/06</w:t>
            </w:r>
          </w:p>
        </w:tc>
        <w:tc>
          <w:tcPr>
            <w:tcW w:w="1843" w:type="dxa"/>
            <w:vAlign w:val="center"/>
            <w:hideMark/>
          </w:tcPr>
          <w:p w:rsidR="00104AE8" w:rsidRDefault="00104AE8" w:rsidP="002C7DB1">
            <w:proofErr w:type="spellStart"/>
            <w:r>
              <w:t>k.A</w:t>
            </w:r>
            <w:proofErr w:type="spellEnd"/>
            <w:r>
              <w:t>.</w:t>
            </w:r>
          </w:p>
        </w:tc>
      </w:tr>
      <w:tr w:rsidR="00104AE8" w:rsidTr="006D45A4">
        <w:trPr>
          <w:trHeight w:val="340"/>
        </w:trPr>
        <w:tc>
          <w:tcPr>
            <w:tcW w:w="8075" w:type="dxa"/>
            <w:shd w:val="clear" w:color="auto" w:fill="BDD6EE" w:themeFill="accent1" w:themeFillTint="66"/>
            <w:vAlign w:val="center"/>
            <w:hideMark/>
          </w:tcPr>
          <w:p w:rsidR="00104AE8" w:rsidRDefault="00104AE8" w:rsidP="002C7DB1">
            <w:r>
              <w:t>Anteil der Unterernährten</w:t>
            </w:r>
          </w:p>
        </w:tc>
        <w:tc>
          <w:tcPr>
            <w:tcW w:w="1843" w:type="dxa"/>
            <w:shd w:val="clear" w:color="auto" w:fill="BDD6EE" w:themeFill="accent1" w:themeFillTint="66"/>
            <w:vAlign w:val="center"/>
            <w:hideMark/>
          </w:tcPr>
          <w:p w:rsidR="00104AE8" w:rsidRDefault="00104AE8" w:rsidP="002C7DB1">
            <w:r>
              <w:t>2,5%</w:t>
            </w:r>
          </w:p>
        </w:tc>
      </w:tr>
      <w:tr w:rsidR="00104AE8" w:rsidTr="006D45A4">
        <w:trPr>
          <w:trHeight w:val="340"/>
        </w:trPr>
        <w:tc>
          <w:tcPr>
            <w:tcW w:w="8075" w:type="dxa"/>
            <w:vAlign w:val="center"/>
            <w:hideMark/>
          </w:tcPr>
          <w:p w:rsidR="00104AE8" w:rsidRDefault="00104AE8" w:rsidP="002C7DB1">
            <w:r>
              <w:t>Anteil der zu kleinen Kinder infolge Unterernährung (</w:t>
            </w:r>
            <w:proofErr w:type="spellStart"/>
            <w:r>
              <w:t>Stunting</w:t>
            </w:r>
            <w:proofErr w:type="spellEnd"/>
            <w:r>
              <w:t>)</w:t>
            </w:r>
          </w:p>
        </w:tc>
        <w:tc>
          <w:tcPr>
            <w:tcW w:w="1843" w:type="dxa"/>
            <w:vAlign w:val="center"/>
            <w:hideMark/>
          </w:tcPr>
          <w:p w:rsidR="00104AE8" w:rsidRDefault="00104AE8" w:rsidP="002C7DB1">
            <w:r>
              <w:t>8,0%</w:t>
            </w:r>
            <w:r>
              <w:rPr>
                <w:rStyle w:val="Funotenzeichen"/>
              </w:rPr>
              <w:footnoteReference w:id="2"/>
            </w:r>
          </w:p>
        </w:tc>
      </w:tr>
      <w:tr w:rsidR="00104AE8" w:rsidTr="006D45A4">
        <w:trPr>
          <w:trHeight w:val="340"/>
        </w:trPr>
        <w:tc>
          <w:tcPr>
            <w:tcW w:w="8075" w:type="dxa"/>
            <w:shd w:val="clear" w:color="auto" w:fill="BDD6EE" w:themeFill="accent1" w:themeFillTint="66"/>
            <w:vAlign w:val="center"/>
            <w:hideMark/>
          </w:tcPr>
          <w:p w:rsidR="00104AE8" w:rsidRDefault="00104AE8" w:rsidP="002C7DB1">
            <w:r>
              <w:t xml:space="preserve">Anteil übergewichtige Kinder (unter 5 Jahre) </w:t>
            </w:r>
          </w:p>
        </w:tc>
        <w:tc>
          <w:tcPr>
            <w:tcW w:w="1843" w:type="dxa"/>
            <w:shd w:val="clear" w:color="auto" w:fill="BDD6EE" w:themeFill="accent1" w:themeFillTint="66"/>
            <w:vAlign w:val="center"/>
            <w:hideMark/>
          </w:tcPr>
          <w:p w:rsidR="00104AE8" w:rsidRDefault="00104AE8" w:rsidP="002C7DB1">
            <w:proofErr w:type="spellStart"/>
            <w:r>
              <w:t>k.A</w:t>
            </w:r>
            <w:proofErr w:type="spellEnd"/>
            <w:r>
              <w:t>.</w:t>
            </w:r>
          </w:p>
        </w:tc>
      </w:tr>
      <w:tr w:rsidR="00104AE8" w:rsidTr="006D45A4">
        <w:trPr>
          <w:trHeight w:val="340"/>
        </w:trPr>
        <w:tc>
          <w:tcPr>
            <w:tcW w:w="8075" w:type="dxa"/>
            <w:vAlign w:val="center"/>
            <w:hideMark/>
          </w:tcPr>
          <w:p w:rsidR="00104AE8" w:rsidRDefault="00104AE8" w:rsidP="002C7DB1">
            <w:r>
              <w:t>Anteil Übergewichtige an der Gesamtbevölkerung (2018)</w:t>
            </w:r>
          </w:p>
        </w:tc>
        <w:tc>
          <w:tcPr>
            <w:tcW w:w="1843" w:type="dxa"/>
            <w:vAlign w:val="center"/>
            <w:hideMark/>
          </w:tcPr>
          <w:p w:rsidR="00104AE8" w:rsidRDefault="00104AE8" w:rsidP="002C7DB1">
            <w:r>
              <w:t>55,7%</w:t>
            </w:r>
            <w:r>
              <w:rPr>
                <w:rStyle w:val="Funotenzeichen"/>
              </w:rPr>
              <w:footnoteReference w:id="3"/>
            </w:r>
          </w:p>
        </w:tc>
      </w:tr>
      <w:tr w:rsidR="00104AE8" w:rsidTr="006D45A4">
        <w:trPr>
          <w:trHeight w:val="340"/>
        </w:trPr>
        <w:tc>
          <w:tcPr>
            <w:tcW w:w="8075" w:type="dxa"/>
            <w:shd w:val="clear" w:color="auto" w:fill="BDD6EE" w:themeFill="accent1" w:themeFillTint="66"/>
            <w:vAlign w:val="center"/>
            <w:hideMark/>
          </w:tcPr>
          <w:p w:rsidR="00104AE8" w:rsidRDefault="00104AE8" w:rsidP="002C7DB1">
            <w:r>
              <w:t>Anteil Adipöse an der Gesamtbevölkerung (2018)</w:t>
            </w:r>
          </w:p>
        </w:tc>
        <w:tc>
          <w:tcPr>
            <w:tcW w:w="1843" w:type="dxa"/>
            <w:shd w:val="clear" w:color="auto" w:fill="BDD6EE" w:themeFill="accent1" w:themeFillTint="66"/>
            <w:vAlign w:val="center"/>
            <w:hideMark/>
          </w:tcPr>
          <w:p w:rsidR="00104AE8" w:rsidRDefault="00104AE8" w:rsidP="002C7DB1">
            <w:r>
              <w:t>19,8%</w:t>
            </w:r>
            <w:r>
              <w:rPr>
                <w:rStyle w:val="Funotenzeichen"/>
              </w:rPr>
              <w:footnoteReference w:id="4"/>
            </w:r>
          </w:p>
        </w:tc>
      </w:tr>
    </w:tbl>
    <w:p w:rsidR="00104AE8" w:rsidRDefault="00104AE8" w:rsidP="00104AE8"/>
    <w:p w:rsidR="00104AE8" w:rsidRDefault="00104AE8" w:rsidP="00104AE8">
      <w:pPr>
        <w:pStyle w:val="Textkrper"/>
      </w:pPr>
      <w:r>
        <w:t>Brasilien war in den letzten zehn Jahren sehr erfolgreich im Kampf gegen den Hunger, hat Unterernährung bei Erwachsenen wie bei Kindern erfolgreich zurückgedrängt</w:t>
      </w:r>
      <w:r>
        <w:rPr>
          <w:rStyle w:val="Funotenzeichen"/>
        </w:rPr>
        <w:footnoteReference w:id="5"/>
      </w:r>
      <w:r>
        <w:t>. Doch mit der Reduzierung von Unterernährung und Armut ist auch ein Trend zu Übergewicht und sogar Adipositas in Gang gekommen, der zu einem zentralen Gesundheitsproblem Brasiliens geworden ist. 55,7% der Bevölkerung gehören gemäß WHO-Definition (</w:t>
      </w:r>
      <w:proofErr w:type="spellStart"/>
      <w:r>
        <w:t>BMI</w:t>
      </w:r>
      <w:proofErr w:type="spellEnd"/>
      <w:r>
        <w:t xml:space="preserve"> ab 25) zu den Übergewichtigen, 19,8% sogar zu den Adipösen. Diese Entwicklung betrifft alle Bevölkerungsgruppen; selbst im Amazonas-Gebiet, reich gesegnet mit einer Vielzahl von Früchten und Gemüsen, ist dieser Trend zu beobachten</w:t>
      </w:r>
      <w:r>
        <w:rPr>
          <w:rStyle w:val="Funotenzeichen"/>
        </w:rPr>
        <w:footnoteReference w:id="6"/>
      </w:r>
      <w:r>
        <w:t>.</w:t>
      </w:r>
    </w:p>
    <w:p w:rsidR="00104AE8" w:rsidRDefault="00104AE8" w:rsidP="00104AE8">
      <w:pPr>
        <w:pStyle w:val="Textkrper"/>
      </w:pPr>
      <w:r>
        <w:t>Die Ursachen, welche Forscher für diesen Trend angeben, sind ähnlich den Erkenntnissen, die auch aus Studien in anderen Ländern resultieren</w:t>
      </w:r>
      <w:r>
        <w:rPr>
          <w:rStyle w:val="Funotenzeichen"/>
        </w:rPr>
        <w:footnoteReference w:id="7"/>
      </w:r>
      <w:r>
        <w:t>. Vor allem die veränderten Essgewohnheiten mit einem höheren Konsum von fetter, zuckerhaltiger oder salziger Fertignahrung in Verbindung mit geringer Bewegung werden angeführt, die zu einer kumulativen Kalorienüberversorgung führen. Gleichzeitig wird in einigen Studien den bisherigen Bemühungen der brasilianischen Regierung, den Überernährungstrend zu stoppen, Erfolgslosigkeit bescheinigt</w:t>
      </w:r>
      <w:r>
        <w:rPr>
          <w:rStyle w:val="Funotenzeichen"/>
        </w:rPr>
        <w:footnoteReference w:id="8"/>
      </w:r>
      <w:r>
        <w:t xml:space="preserve">. </w:t>
      </w:r>
    </w:p>
    <w:p w:rsidR="00104AE8" w:rsidRDefault="00104AE8" w:rsidP="00104AE8">
      <w:pPr>
        <w:pStyle w:val="Textkrper"/>
      </w:pPr>
      <w:r>
        <w:t xml:space="preserve">Die Entwicklung hin zum Konsum von Junkfood, die in Brasilien in sehr kurzer Zeit erfolgt ist, kollidiert mit der traditionellen brasilianischen Esskultur, bei der das selbst-gekochte gemeinschaftliche Mahl in der Familie einen hohen Stellenwert hatte und hat. Diese traditionelle Form des Essens ist vielleicht auch ein möglicher Ankerpunkt, eine Gegenbewegung gegen die Tendenzen zu Snacks und industriell-gefertigten Produkten zu etablieren. Doch die wachsende Urbanisierung </w:t>
      </w:r>
      <w:r>
        <w:lastRenderedPageBreak/>
        <w:t>und eine Lohnarbeit, die schon aus Zeitgründen gemeinsame Mahlzeiten erschwert, sind wirkmächtige Faktoren in Richtung auf einen Ernährungswandel, der Fertigprodukte favorisiert und Fehlernährung mit Übergewicht fördert</w:t>
      </w:r>
      <w:r>
        <w:rPr>
          <w:rStyle w:val="Funotenzeichen"/>
        </w:rPr>
        <w:footnoteReference w:id="9"/>
      </w:r>
      <w:r>
        <w:t>.</w:t>
      </w:r>
    </w:p>
    <w:p w:rsidR="00FE3E22" w:rsidRPr="006D3835" w:rsidRDefault="00FE3E22" w:rsidP="00FE3E22">
      <w:pPr>
        <w:pStyle w:val="Textkrper"/>
      </w:pPr>
      <w:r>
        <w:t>Big-Food</w:t>
      </w:r>
      <w:r w:rsidR="00131F16">
        <w:t>-</w:t>
      </w:r>
      <w:r>
        <w:t>Nahrungskonzerne, einheimische wie internationale, haben in Brasilien einen großen Einfluss, sind vor allem in der Werbung und im Straßenbild der Städte allgegenwärtig. Die seit einigen Jahren beobachtbare Tendenz, dass mit Haus-zu-Haus-Verkäufen gerade auch ärmere Bevölkerungsgruppen in den Favelas erreicht werden (Nestlé), hat den Absatz von Junkfood beschleunigt. In Brasilien tritt Big Food einerseits als Anbieter von Junkfood auf, was den fragwürdigen Ernährungswandel und Übergewicht beförder</w:t>
      </w:r>
      <w:r w:rsidRPr="006D3835">
        <w:t>t;</w:t>
      </w:r>
      <w:r>
        <w:t xml:space="preserve"> andererseits sind Big-Food-Unternehmen Akteure von zahlreichen Programmen zur gesünderen Ernährung, sorgen für Schulspeisungsprogramme und für Bildungsangebote, die über Wege zu einer besseren Ernährung aufklären. </w:t>
      </w:r>
      <w:r w:rsidRPr="006D3835">
        <w:t xml:space="preserve">Diese Konstellation von </w:t>
      </w:r>
      <w:proofErr w:type="spellStart"/>
      <w:r w:rsidRPr="006D3835">
        <w:t>PPPs</w:t>
      </w:r>
      <w:proofErr w:type="spellEnd"/>
      <w:r w:rsidRPr="006D3835">
        <w:t xml:space="preserve"> (Public-Privat-</w:t>
      </w:r>
      <w:proofErr w:type="spellStart"/>
      <w:r w:rsidRPr="006D3835">
        <w:t>Partnerships</w:t>
      </w:r>
      <w:proofErr w:type="spellEnd"/>
      <w:r w:rsidRPr="006D3835">
        <w:t>) erschwert im Konfliktfall Maßnahmen, die sich gegen die Interessen von Big Food richten.</w:t>
      </w:r>
    </w:p>
    <w:p w:rsidR="00FE3E22" w:rsidRDefault="00BF0D99" w:rsidP="00FE3E22">
      <w:pPr>
        <w:pStyle w:val="Textkrper"/>
      </w:pPr>
      <w:r w:rsidRPr="006D3835">
        <w:rPr>
          <w:noProof/>
          <w:sz w:val="20"/>
          <w:szCs w:val="20"/>
          <w:lang w:eastAsia="de-DE"/>
        </w:rPr>
        <mc:AlternateContent>
          <mc:Choice Requires="wps">
            <w:drawing>
              <wp:anchor distT="45720" distB="0" distL="114300" distR="114300" simplePos="0" relativeHeight="251672576" behindDoc="0" locked="0" layoutInCell="1" allowOverlap="1" wp14:anchorId="47F6F7D0" wp14:editId="688DB1F0">
                <wp:simplePos x="0" y="0"/>
                <wp:positionH relativeFrom="column">
                  <wp:posOffset>-635</wp:posOffset>
                </wp:positionH>
                <wp:positionV relativeFrom="paragraph">
                  <wp:posOffset>2807970</wp:posOffset>
                </wp:positionV>
                <wp:extent cx="3996000" cy="216000"/>
                <wp:effectExtent l="0" t="0" r="5080" b="0"/>
                <wp:wrapSquare wrapText="bothSides"/>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000" cy="216000"/>
                        </a:xfrm>
                        <a:prstGeom prst="rect">
                          <a:avLst/>
                        </a:prstGeom>
                        <a:solidFill>
                          <a:srgbClr val="FFFFFF"/>
                        </a:solidFill>
                        <a:ln w="9525">
                          <a:noFill/>
                          <a:miter lim="800000"/>
                          <a:headEnd/>
                          <a:tailEnd/>
                        </a:ln>
                      </wps:spPr>
                      <wps:txbx>
                        <w:txbxContent>
                          <w:p w:rsidR="00BF0D99" w:rsidRDefault="00BF0D99" w:rsidP="00131F16">
                            <w:pPr>
                              <w:pStyle w:val="Fotonachweisfett"/>
                            </w:pPr>
                            <w:r>
                              <w:t>Foto: ZDF/</w:t>
                            </w:r>
                            <w:r w:rsidRPr="006D3835">
                              <w:t>Joachim Walther</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6F7D0" id="_x0000_s1030" type="#_x0000_t202" style="position:absolute;margin-left:-.05pt;margin-top:221.1pt;width:314.65pt;height:17pt;z-index:251672576;visibility:visible;mso-wrap-style:square;mso-width-percent:0;mso-height-percent:0;mso-wrap-distance-left:9pt;mso-wrap-distance-top:3.6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" stroked="f">
                <v:textbox inset="0">
                  <w:txbxContent>
                    <w:p w:rsidR="00BF0D99" w:rsidRDefault="00BF0D99" w:rsidP="00131F16">
                      <w:pPr>
                        <w:pStyle w:val="Fotonachweisfett"/>
                      </w:pPr>
                      <w:r>
                        <w:t>Foto: ZDF/</w:t>
                      </w:r>
                      <w:r w:rsidRPr="006D3835">
                        <w:t>Joachim Walther</w:t>
                      </w:r>
                    </w:p>
                  </w:txbxContent>
                </v:textbox>
                <w10:wrap type="square"/>
              </v:shape>
            </w:pict>
          </mc:Fallback>
        </mc:AlternateContent>
      </w:r>
      <w:r>
        <w:rPr>
          <w:noProof/>
          <w:lang w:eastAsia="de-DE"/>
        </w:rPr>
        <w:drawing>
          <wp:anchor distT="0" distB="107950" distL="0" distR="114300" simplePos="0" relativeHeight="251670528" behindDoc="1" locked="0" layoutInCell="1" allowOverlap="1">
            <wp:simplePos x="0" y="0"/>
            <wp:positionH relativeFrom="column">
              <wp:posOffset>-497</wp:posOffset>
            </wp:positionH>
            <wp:positionV relativeFrom="paragraph">
              <wp:posOffset>144145</wp:posOffset>
            </wp:positionV>
            <wp:extent cx="3996000" cy="2664000"/>
            <wp:effectExtent l="0" t="0" r="5080" b="3175"/>
            <wp:wrapTight wrapText="right">
              <wp:wrapPolygon edited="0">
                <wp:start x="0" y="0"/>
                <wp:lineTo x="0" y="21471"/>
                <wp:lineTo x="21524" y="21471"/>
                <wp:lineTo x="21524" y="0"/>
                <wp:lineTo x="0" y="0"/>
              </wp:wrapPolygon>
            </wp:wrapTight>
            <wp:docPr id="44" name="Grafik 44" descr="Ein Bild, das Person, drinnen,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499-0-4.Original.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6000" cy="2664000"/>
                    </a:xfrm>
                    <a:prstGeom prst="rect">
                      <a:avLst/>
                    </a:prstGeom>
                  </pic:spPr>
                </pic:pic>
              </a:graphicData>
            </a:graphic>
            <wp14:sizeRelH relativeFrom="margin">
              <wp14:pctWidth>0</wp14:pctWidth>
            </wp14:sizeRelH>
            <wp14:sizeRelV relativeFrom="margin">
              <wp14:pctHeight>0</wp14:pctHeight>
            </wp14:sizeRelV>
          </wp:anchor>
        </w:drawing>
      </w:r>
      <w:r w:rsidR="00FE3E22">
        <w:t xml:space="preserve">Nicht zu übersehen ist aber dennoch, dass die brasilianische Regierung durchaus ehrgeizige Ziele in Richtung auf eine gesündere Ernährung formuliert hat. 2017 war Brasilien das erste Land, das konkrete Ziele im Rahmen der </w:t>
      </w:r>
      <w:r w:rsidR="00131F16">
        <w:t>„</w:t>
      </w:r>
      <w:r w:rsidR="00FE3E22">
        <w:t>UN-Dekade für Ernährung</w:t>
      </w:r>
      <w:r w:rsidR="00131F16">
        <w:t>“</w:t>
      </w:r>
      <w:r w:rsidR="00FE3E22">
        <w:t xml:space="preserve"> (2016 bis 2025) benannt hat, darunter das Anwachsen der Rate der Übergewichtigen zu stoppen und den Konsum von gesüßten Softdrinks bei den Erwachsenen um 30% zu senken</w:t>
      </w:r>
      <w:r w:rsidR="00FE3E22">
        <w:rPr>
          <w:rStyle w:val="Funotenzeichen"/>
        </w:rPr>
        <w:footnoteReference w:id="10"/>
      </w:r>
      <w:r w:rsidR="00FE3E22">
        <w:t>. Doch durchschlagende Erfolge sind bisher nicht erkennbar und es bleibt fraglich, ob das kooperative Nebeneinander von Anbietern von Junkfood auf der einen Seite und staatlichen Programmen zur gesünderen Ernährung auf der anderen Seite solche Erfolge nicht erschwert oder sogar unmöglich macht.</w:t>
      </w:r>
    </w:p>
    <w:p w:rsidR="00FE3E22" w:rsidRDefault="00FE3E22" w:rsidP="00FE3E22">
      <w:pPr>
        <w:pStyle w:val="Textkrper"/>
      </w:pPr>
      <w:r>
        <w:t>Brasilien war ziemlich erfolgreich dabei, die Unterernährung zurück zu drängen. Der Kampf gegen das Übergewicht und für eine gesündere, vielseitige Ernährungsweise dürfte noch länger dauern.</w:t>
      </w:r>
    </w:p>
    <w:p w:rsidR="00A357C1" w:rsidRDefault="00A357C1" w:rsidP="00A357C1">
      <w:pPr>
        <w:pStyle w:val="AB-Nr"/>
      </w:pPr>
      <w:r w:rsidRPr="00104AE8">
        <w:lastRenderedPageBreak/>
        <w:t>M-5-</w:t>
      </w:r>
      <w:r>
        <w:t>4</w:t>
      </w:r>
    </w:p>
    <w:p w:rsidR="00A357C1" w:rsidRDefault="00F65B78" w:rsidP="00A357C1">
      <w:r>
        <w:rPr>
          <w:noProof/>
          <w:lang w:eastAsia="de-DE"/>
        </w:rPr>
        <w:drawing>
          <wp:anchor distT="0" distB="0" distL="114300" distR="114300" simplePos="0" relativeHeight="251673600" behindDoc="0" locked="0" layoutInCell="1" allowOverlap="1">
            <wp:simplePos x="0" y="0"/>
            <wp:positionH relativeFrom="margin">
              <wp:align>right</wp:align>
            </wp:positionH>
            <wp:positionV relativeFrom="page">
              <wp:posOffset>1260475</wp:posOffset>
            </wp:positionV>
            <wp:extent cx="1238400" cy="8244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400" cy="8244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357C1">
        <w:rPr>
          <w:b/>
          <w:bCs/>
          <w:color w:val="C00000"/>
          <w:sz w:val="40"/>
          <w:szCs w:val="40"/>
        </w:rPr>
        <w:t>Factsheet</w:t>
      </w:r>
      <w:proofErr w:type="spellEnd"/>
      <w:r w:rsidR="00A357C1">
        <w:rPr>
          <w:b/>
          <w:bCs/>
          <w:color w:val="C00000"/>
          <w:sz w:val="40"/>
          <w:szCs w:val="40"/>
        </w:rPr>
        <w:t xml:space="preserve"> Indien</w:t>
      </w:r>
    </w:p>
    <w:p w:rsidR="00A357C1" w:rsidRDefault="00A357C1" w:rsidP="00A357C1"/>
    <w:p w:rsidR="00A357C1" w:rsidRDefault="00A357C1" w:rsidP="00A357C1"/>
    <w:p w:rsidR="00A357C1" w:rsidRDefault="00A357C1" w:rsidP="00A357C1"/>
    <w:p w:rsidR="00F65B78" w:rsidRDefault="00F65B78" w:rsidP="00A357C1"/>
    <w:p w:rsidR="00A357C1" w:rsidRDefault="00A357C1" w:rsidP="00A357C1"/>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7"/>
        <w:gridCol w:w="1812"/>
      </w:tblGrid>
      <w:tr w:rsidR="00F65B78" w:rsidTr="006D45A4">
        <w:trPr>
          <w:trHeight w:val="340"/>
        </w:trPr>
        <w:tc>
          <w:tcPr>
            <w:tcW w:w="8075" w:type="dxa"/>
            <w:shd w:val="clear" w:color="auto" w:fill="BDD6EE" w:themeFill="accent1" w:themeFillTint="66"/>
            <w:vAlign w:val="center"/>
          </w:tcPr>
          <w:p w:rsidR="00F65B78" w:rsidRDefault="00F65B78" w:rsidP="002C7DB1">
            <w:r>
              <w:t>Bevölkerung</w:t>
            </w:r>
            <w:r>
              <w:rPr>
                <w:rStyle w:val="Funotenzeichen"/>
              </w:rPr>
              <w:footnoteReference w:id="11"/>
            </w:r>
          </w:p>
        </w:tc>
        <w:tc>
          <w:tcPr>
            <w:tcW w:w="1843" w:type="dxa"/>
            <w:shd w:val="clear" w:color="auto" w:fill="BDD6EE" w:themeFill="accent1" w:themeFillTint="66"/>
            <w:vAlign w:val="center"/>
          </w:tcPr>
          <w:p w:rsidR="00F65B78" w:rsidRDefault="00F65B78" w:rsidP="002C7DB1">
            <w:r>
              <w:t>1.352,6 Mio.</w:t>
            </w:r>
          </w:p>
        </w:tc>
      </w:tr>
      <w:tr w:rsidR="00F65B78" w:rsidTr="006D45A4">
        <w:trPr>
          <w:trHeight w:val="340"/>
        </w:trPr>
        <w:tc>
          <w:tcPr>
            <w:tcW w:w="8075" w:type="dxa"/>
            <w:vAlign w:val="center"/>
          </w:tcPr>
          <w:p w:rsidR="00F65B78" w:rsidRDefault="00F65B78" w:rsidP="002C7DB1">
            <w:r>
              <w:t>Lebenserwartung</w:t>
            </w:r>
          </w:p>
        </w:tc>
        <w:tc>
          <w:tcPr>
            <w:tcW w:w="1843" w:type="dxa"/>
            <w:vAlign w:val="center"/>
          </w:tcPr>
          <w:p w:rsidR="00F65B78" w:rsidRDefault="00F65B78" w:rsidP="002C7DB1">
            <w:r>
              <w:t>69,4 Jahre</w:t>
            </w:r>
          </w:p>
        </w:tc>
      </w:tr>
      <w:tr w:rsidR="00F65B78" w:rsidTr="006D45A4">
        <w:trPr>
          <w:trHeight w:val="340"/>
        </w:trPr>
        <w:tc>
          <w:tcPr>
            <w:tcW w:w="8075" w:type="dxa"/>
            <w:shd w:val="clear" w:color="auto" w:fill="BDD6EE" w:themeFill="accent1" w:themeFillTint="66"/>
            <w:vAlign w:val="center"/>
          </w:tcPr>
          <w:p w:rsidR="00F65B78" w:rsidRDefault="00F65B78" w:rsidP="002C7DB1">
            <w:r>
              <w:t xml:space="preserve">Anteil der extrem Armen (&lt; 1,90 $ </w:t>
            </w:r>
            <w:proofErr w:type="spellStart"/>
            <w:r>
              <w:t>PPP</w:t>
            </w:r>
            <w:proofErr w:type="spellEnd"/>
            <w:r>
              <w:t>/Tag)</w:t>
            </w:r>
          </w:p>
        </w:tc>
        <w:tc>
          <w:tcPr>
            <w:tcW w:w="1843" w:type="dxa"/>
            <w:shd w:val="clear" w:color="auto" w:fill="BDD6EE" w:themeFill="accent1" w:themeFillTint="66"/>
            <w:vAlign w:val="center"/>
          </w:tcPr>
          <w:p w:rsidR="00F65B78" w:rsidRDefault="00F65B78" w:rsidP="002C7DB1">
            <w:r>
              <w:t>10,3%</w:t>
            </w:r>
          </w:p>
        </w:tc>
      </w:tr>
      <w:tr w:rsidR="00F65B78" w:rsidTr="006D45A4">
        <w:trPr>
          <w:trHeight w:val="340"/>
        </w:trPr>
        <w:tc>
          <w:tcPr>
            <w:tcW w:w="8075" w:type="dxa"/>
            <w:shd w:val="clear" w:color="auto" w:fill="auto"/>
            <w:vAlign w:val="center"/>
          </w:tcPr>
          <w:p w:rsidR="00F65B78" w:rsidRDefault="00F65B78" w:rsidP="002C7DB1">
            <w:r>
              <w:t>Anteil der Menschen unterhalb der nationalen Armutsgrenze</w:t>
            </w:r>
          </w:p>
        </w:tc>
        <w:tc>
          <w:tcPr>
            <w:tcW w:w="1843" w:type="dxa"/>
            <w:shd w:val="clear" w:color="auto" w:fill="auto"/>
            <w:vAlign w:val="center"/>
          </w:tcPr>
          <w:p w:rsidR="00F65B78" w:rsidRDefault="00F65B78" w:rsidP="002C7DB1">
            <w:r>
              <w:t>21,9%</w:t>
            </w:r>
          </w:p>
        </w:tc>
      </w:tr>
      <w:tr w:rsidR="00F65B78" w:rsidTr="006D45A4">
        <w:trPr>
          <w:trHeight w:val="340"/>
        </w:trPr>
        <w:tc>
          <w:tcPr>
            <w:tcW w:w="8075" w:type="dxa"/>
            <w:shd w:val="clear" w:color="auto" w:fill="BDD6EE" w:themeFill="accent1" w:themeFillTint="66"/>
            <w:vAlign w:val="center"/>
          </w:tcPr>
          <w:p w:rsidR="00F65B78" w:rsidRDefault="00F65B78" w:rsidP="006D45A4">
            <w:r>
              <w:t>Anzahl der Unterernährten (2016</w:t>
            </w:r>
            <w:r w:rsidR="006D45A4">
              <w:rPr>
                <w:rFonts w:cs="Calibri"/>
              </w:rPr>
              <w:t>–</w:t>
            </w:r>
            <w:r>
              <w:t>2018)</w:t>
            </w:r>
          </w:p>
        </w:tc>
        <w:tc>
          <w:tcPr>
            <w:tcW w:w="1843" w:type="dxa"/>
            <w:shd w:val="clear" w:color="auto" w:fill="BDD6EE" w:themeFill="accent1" w:themeFillTint="66"/>
            <w:vAlign w:val="center"/>
          </w:tcPr>
          <w:p w:rsidR="00F65B78" w:rsidRDefault="00F65B78" w:rsidP="002C7DB1">
            <w:r>
              <w:t>194,4 Mio.</w:t>
            </w:r>
          </w:p>
        </w:tc>
      </w:tr>
      <w:tr w:rsidR="00F65B78" w:rsidTr="006D45A4">
        <w:trPr>
          <w:trHeight w:val="340"/>
        </w:trPr>
        <w:tc>
          <w:tcPr>
            <w:tcW w:w="8075" w:type="dxa"/>
            <w:vAlign w:val="center"/>
          </w:tcPr>
          <w:p w:rsidR="00F65B78" w:rsidRDefault="006D45A4" w:rsidP="002C7DB1">
            <w:r>
              <w:rPr>
                <w:rFonts w:cs="Calibri"/>
              </w:rPr>
              <w:t>–</w:t>
            </w:r>
            <w:r w:rsidR="00F65B78">
              <w:t xml:space="preserve"> davon: Veränderungen 2016/18 zu 2004/06</w:t>
            </w:r>
          </w:p>
        </w:tc>
        <w:tc>
          <w:tcPr>
            <w:tcW w:w="1843" w:type="dxa"/>
            <w:vAlign w:val="center"/>
          </w:tcPr>
          <w:p w:rsidR="00F65B78" w:rsidRDefault="006D45A4" w:rsidP="002C7DB1">
            <w:r>
              <w:rPr>
                <w:rFonts w:cs="Calibri"/>
              </w:rPr>
              <w:t>–</w:t>
            </w:r>
            <w:r w:rsidR="00F65B78">
              <w:t>23,5%</w:t>
            </w:r>
          </w:p>
        </w:tc>
      </w:tr>
      <w:tr w:rsidR="00F65B78" w:rsidTr="006D45A4">
        <w:trPr>
          <w:trHeight w:val="340"/>
        </w:trPr>
        <w:tc>
          <w:tcPr>
            <w:tcW w:w="8075" w:type="dxa"/>
            <w:shd w:val="clear" w:color="auto" w:fill="BDD6EE" w:themeFill="accent1" w:themeFillTint="66"/>
            <w:vAlign w:val="center"/>
          </w:tcPr>
          <w:p w:rsidR="00F65B78" w:rsidRDefault="00F65B78" w:rsidP="002C7DB1">
            <w:r>
              <w:t>Anteil der Unterernährten</w:t>
            </w:r>
          </w:p>
        </w:tc>
        <w:tc>
          <w:tcPr>
            <w:tcW w:w="1843" w:type="dxa"/>
            <w:shd w:val="clear" w:color="auto" w:fill="BDD6EE" w:themeFill="accent1" w:themeFillTint="66"/>
            <w:vAlign w:val="center"/>
          </w:tcPr>
          <w:p w:rsidR="00F65B78" w:rsidRDefault="00F65B78" w:rsidP="002C7DB1">
            <w:r>
              <w:t>14,5%</w:t>
            </w:r>
          </w:p>
        </w:tc>
      </w:tr>
      <w:tr w:rsidR="00F65B78" w:rsidTr="006D45A4">
        <w:trPr>
          <w:trHeight w:val="340"/>
        </w:trPr>
        <w:tc>
          <w:tcPr>
            <w:tcW w:w="8075" w:type="dxa"/>
            <w:vAlign w:val="center"/>
          </w:tcPr>
          <w:p w:rsidR="00F65B78" w:rsidRDefault="00F65B78" w:rsidP="002C7DB1">
            <w:r>
              <w:t>Anteil der zu kleinen Kinder infolge Hunger (</w:t>
            </w:r>
            <w:proofErr w:type="spellStart"/>
            <w:r>
              <w:t>Stunting</w:t>
            </w:r>
            <w:proofErr w:type="spellEnd"/>
            <w:r>
              <w:t>)</w:t>
            </w:r>
          </w:p>
        </w:tc>
        <w:tc>
          <w:tcPr>
            <w:tcW w:w="1843" w:type="dxa"/>
            <w:vAlign w:val="center"/>
          </w:tcPr>
          <w:p w:rsidR="00F65B78" w:rsidRDefault="00F65B78" w:rsidP="002C7DB1">
            <w:r>
              <w:t>37,9%</w:t>
            </w:r>
          </w:p>
        </w:tc>
      </w:tr>
      <w:tr w:rsidR="00F65B78" w:rsidTr="006D45A4">
        <w:trPr>
          <w:trHeight w:val="340"/>
        </w:trPr>
        <w:tc>
          <w:tcPr>
            <w:tcW w:w="8075" w:type="dxa"/>
            <w:shd w:val="clear" w:color="auto" w:fill="BDD6EE" w:themeFill="accent1" w:themeFillTint="66"/>
            <w:vAlign w:val="center"/>
          </w:tcPr>
          <w:p w:rsidR="00F65B78" w:rsidRDefault="00F65B78" w:rsidP="002C7DB1">
            <w:r>
              <w:t xml:space="preserve">Anteil übergewichtige Kinder (unter 5 Jahre) </w:t>
            </w:r>
          </w:p>
        </w:tc>
        <w:tc>
          <w:tcPr>
            <w:tcW w:w="1843" w:type="dxa"/>
            <w:shd w:val="clear" w:color="auto" w:fill="BDD6EE" w:themeFill="accent1" w:themeFillTint="66"/>
            <w:vAlign w:val="center"/>
          </w:tcPr>
          <w:p w:rsidR="00F65B78" w:rsidRDefault="00F65B78" w:rsidP="002C7DB1">
            <w:r>
              <w:t>2,4%</w:t>
            </w:r>
          </w:p>
        </w:tc>
      </w:tr>
      <w:tr w:rsidR="00F65B78" w:rsidTr="006D45A4">
        <w:trPr>
          <w:trHeight w:val="340"/>
        </w:trPr>
        <w:tc>
          <w:tcPr>
            <w:tcW w:w="8075" w:type="dxa"/>
            <w:vAlign w:val="center"/>
          </w:tcPr>
          <w:p w:rsidR="00F65B78" w:rsidRDefault="00F65B78" w:rsidP="002C7DB1">
            <w:r>
              <w:t>Anteil Übergewichtige Erwachsene</w:t>
            </w:r>
          </w:p>
        </w:tc>
        <w:tc>
          <w:tcPr>
            <w:tcW w:w="1843" w:type="dxa"/>
            <w:vAlign w:val="center"/>
          </w:tcPr>
          <w:p w:rsidR="00F65B78" w:rsidRDefault="00F65B78" w:rsidP="002C7DB1">
            <w:r>
              <w:t>17,8%</w:t>
            </w:r>
            <w:r>
              <w:rPr>
                <w:rStyle w:val="Funotenzeichen"/>
              </w:rPr>
              <w:footnoteReference w:id="12"/>
            </w:r>
          </w:p>
        </w:tc>
      </w:tr>
      <w:tr w:rsidR="00F65B78" w:rsidTr="006D45A4">
        <w:trPr>
          <w:trHeight w:val="340"/>
        </w:trPr>
        <w:tc>
          <w:tcPr>
            <w:tcW w:w="8075" w:type="dxa"/>
            <w:shd w:val="clear" w:color="auto" w:fill="BDD6EE" w:themeFill="accent1" w:themeFillTint="66"/>
            <w:vAlign w:val="center"/>
          </w:tcPr>
          <w:p w:rsidR="00F65B78" w:rsidRDefault="00F65B78" w:rsidP="002C7DB1">
            <w:r>
              <w:t>Anteil Erwachsene Adipositas (2016)</w:t>
            </w:r>
          </w:p>
        </w:tc>
        <w:tc>
          <w:tcPr>
            <w:tcW w:w="1843" w:type="dxa"/>
            <w:shd w:val="clear" w:color="auto" w:fill="BDD6EE" w:themeFill="accent1" w:themeFillTint="66"/>
            <w:vAlign w:val="center"/>
          </w:tcPr>
          <w:p w:rsidR="00F65B78" w:rsidRDefault="00F65B78" w:rsidP="002C7DB1">
            <w:r>
              <w:t>3,8%</w:t>
            </w:r>
            <w:r>
              <w:rPr>
                <w:rStyle w:val="Funotenzeichen"/>
              </w:rPr>
              <w:footnoteReference w:id="13"/>
            </w:r>
          </w:p>
        </w:tc>
      </w:tr>
    </w:tbl>
    <w:p w:rsidR="00F65B78" w:rsidRDefault="00F65B78" w:rsidP="00F65B78"/>
    <w:p w:rsidR="00F65B78" w:rsidRDefault="00F65B78" w:rsidP="00F65B78">
      <w:pPr>
        <w:pStyle w:val="Textkrper"/>
      </w:pPr>
      <w:r>
        <w:t xml:space="preserve">In keinem anderen Land der Welt ist die Gleichzeitigkeit von Unterernährung und Hunger einerseits und von Übergewicht und Adipositas andererseits krasser als in Indien. Denn trotz seiner gewaltigen ökonomischen Entwicklung und trotz zahlreichen staatlicher Ernährungsprogramme (z.B. National Food Security Act 2013; Integrated Child </w:t>
      </w:r>
      <w:r w:rsidR="004B5030">
        <w:t>D</w:t>
      </w:r>
      <w:r>
        <w:t xml:space="preserve">evelopment Services-Programme 2006) ist es in Indien nicht gelungen, den Hunger zu besiegen. Es hat zwar bemerkenswerte Fortschritte (etwa bei der Ernährung der Kinder) gegeben, doch noch immer beträgt der Anteil der Unterernährten gut 14% der Bevölkerung, was bei 1,3 Milliarden Menschen bedeutet, dass fast 200 Millionen Menschen in Indien hungern, mehr als irgendwo sonst auf der Welt. </w:t>
      </w:r>
    </w:p>
    <w:p w:rsidR="00F65B78" w:rsidRDefault="00F65B78" w:rsidP="00F65B78">
      <w:pPr>
        <w:pStyle w:val="Textkrper"/>
      </w:pPr>
      <w:r>
        <w:t>Auf der anderen Seite wächst vor allem im urbanen Raum der Anteil der Menschen mit Übergewicht und hier insbesondere mit Adipositas (</w:t>
      </w:r>
      <w:proofErr w:type="spellStart"/>
      <w:r>
        <w:t>BMI</w:t>
      </w:r>
      <w:proofErr w:type="spellEnd"/>
      <w:r w:rsidR="006D45A4">
        <w:t xml:space="preserve"> </w:t>
      </w:r>
      <w:r>
        <w:t>&gt;30). Diese Form der Fehlernährung nimmt in Indien schneller zu als im Weltdurchschnitt. Die ökonomischen Erfolge Indiens und die daraus resultierende Wohlstandssteigerung sind ein treibender Faktor dieser Entwicklung, die vor allem Kinder und Jugendliche betrifft.</w:t>
      </w:r>
      <w:r>
        <w:rPr>
          <w:rStyle w:val="Funotenzeichen"/>
        </w:rPr>
        <w:footnoteReference w:id="14"/>
      </w:r>
      <w:r>
        <w:t xml:space="preserve"> Eine neuere Studie beziffert für 2018 den Anteil der übergewichtigen Kinder und Jugendlichen mit 4,9%</w:t>
      </w:r>
      <w:r>
        <w:rPr>
          <w:rStyle w:val="Funotenzeichen"/>
        </w:rPr>
        <w:footnoteReference w:id="15"/>
      </w:r>
      <w:r>
        <w:t>. Die Studie weist auch darauf hin, dass die Zunahme von Übergewicht und Adipositas besonders stark unter der armen und wenig-gebildeten Bevölkerung zunimmt</w:t>
      </w:r>
      <w:r>
        <w:rPr>
          <w:rStyle w:val="Funotenzeichen"/>
        </w:rPr>
        <w:footnoteReference w:id="16"/>
      </w:r>
      <w:r>
        <w:t>.</w:t>
      </w:r>
    </w:p>
    <w:p w:rsidR="00F65B78" w:rsidRDefault="00F65B78" w:rsidP="00F65B78">
      <w:pPr>
        <w:pStyle w:val="Textkrper"/>
      </w:pPr>
      <w:r>
        <w:t xml:space="preserve">Erst allmählich wächst in der indischen Gesellschaft das Bewusstsein dafür, dass Übergewicht ein ernstes Problem und Lebensrisiko geworden ist, denn die Wahrnehmung von Hunger und Mangel bestimmte bisher den Blick auf die indische Ernährungslage. „Dicke Kinder“ </w:t>
      </w:r>
      <w:r w:rsidRPr="006D3835">
        <w:t>sind</w:t>
      </w:r>
      <w:r>
        <w:t xml:space="preserve"> immerhin nicht </w:t>
      </w:r>
      <w:r>
        <w:lastRenderedPageBreak/>
        <w:t>unterernährt. Außerdem gingen und gehen viele Inder fälschlicherweise davon aus, dass die Kinder nach der Pubertät ohnehin abnehmen würden oder dass die Erkrankungsrisiken vielleicht für Erwachsene, aber nicht für Kinder und Jugendliche gelten</w:t>
      </w:r>
      <w:r>
        <w:rPr>
          <w:rStyle w:val="Funotenzeichen"/>
        </w:rPr>
        <w:footnoteReference w:id="17"/>
      </w:r>
      <w:r>
        <w:t xml:space="preserve">. </w:t>
      </w:r>
    </w:p>
    <w:p w:rsidR="00F65B78" w:rsidRDefault="00F65B78" w:rsidP="00F65B78">
      <w:pPr>
        <w:pStyle w:val="Textkrper"/>
      </w:pPr>
      <w:r>
        <w:t xml:space="preserve">Staatliches Handeln hat erst relativ spät auf das Gesundheitsrisiko Übergewicht reagiert. Spektakulär war in diesem Zusammenhang die Einführung einer </w:t>
      </w:r>
      <w:r w:rsidR="008E74FD">
        <w:t>„</w:t>
      </w:r>
      <w:r>
        <w:t>Fett-Steuer</w:t>
      </w:r>
      <w:r w:rsidR="008E74FD">
        <w:t>“</w:t>
      </w:r>
      <w:r>
        <w:t xml:space="preserve"> auf Pizza, Burger und Co. im Bundesstaat </w:t>
      </w:r>
      <w:proofErr w:type="spellStart"/>
      <w:r>
        <w:t>Kerala</w:t>
      </w:r>
      <w:proofErr w:type="spellEnd"/>
      <w:r>
        <w:t xml:space="preserve"> (2016). Sie brachte vielen Menschen die Größenordnung des Problems zum Bewusstsein, wurde aber schon ein Jahr später eingestellt, weil die diesbezügliche Steuererhebungskompetenz im Rahmen einer Steuerreform auf die nationale Ebene </w:t>
      </w:r>
      <w:r w:rsidRPr="006D3835">
        <w:t xml:space="preserve">übergegangen ist. Die indische Bundesregierung besteuert aber heute deutlich stärker als bisher z.B. gesüßte Getränke oder </w:t>
      </w:r>
      <w:r w:rsidR="008E74FD">
        <w:t>„</w:t>
      </w:r>
      <w:r w:rsidRPr="006D3835">
        <w:t>Fertignahrung</w:t>
      </w:r>
      <w:r w:rsidR="008E74FD">
        <w:t>“</w:t>
      </w:r>
      <w:r w:rsidRPr="006D3835">
        <w:t xml:space="preserve"> und versucht so, die Nachfrage</w:t>
      </w:r>
      <w:r>
        <w:t xml:space="preserve"> nach Junkfood zu drosseln</w:t>
      </w:r>
      <w:r>
        <w:rPr>
          <w:rStyle w:val="Funotenzeichen"/>
        </w:rPr>
        <w:footnoteReference w:id="18"/>
      </w:r>
      <w:r w:rsidR="008E74FD">
        <w:t xml:space="preserve">. </w:t>
      </w:r>
      <w:r>
        <w:t xml:space="preserve">Die indische </w:t>
      </w:r>
      <w:r w:rsidR="008E74FD">
        <w:t>„</w:t>
      </w:r>
      <w:r>
        <w:t xml:space="preserve">Food </w:t>
      </w:r>
      <w:proofErr w:type="spellStart"/>
      <w:r>
        <w:t>Safety</w:t>
      </w:r>
      <w:proofErr w:type="spellEnd"/>
      <w:r>
        <w:t xml:space="preserve"> </w:t>
      </w:r>
      <w:proofErr w:type="spellStart"/>
      <w:r>
        <w:t>and</w:t>
      </w:r>
      <w:proofErr w:type="spellEnd"/>
      <w:r>
        <w:t xml:space="preserve"> Standards Authority </w:t>
      </w:r>
      <w:proofErr w:type="spellStart"/>
      <w:r>
        <w:t>of</w:t>
      </w:r>
      <w:proofErr w:type="spellEnd"/>
      <w:r>
        <w:t xml:space="preserve"> </w:t>
      </w:r>
      <w:proofErr w:type="spellStart"/>
      <w:r>
        <w:t>India</w:t>
      </w:r>
      <w:proofErr w:type="spellEnd"/>
      <w:r w:rsidR="008E74FD">
        <w:t>“</w:t>
      </w:r>
      <w:r>
        <w:t xml:space="preserve"> hat Empfehlungen für eine Kennzeichnung der Lebensmittel veröffentlicht, verbunden mit einem Verbot der Verbreitung von als ungesund klassifizierten Produkte in den Schulen und im Umkreis von Schulen. Diese Empfehlungen wurden aber ganz offensichtlich in den meisten indischen Bundesstaaten bisher nicht umgesetzt.</w:t>
      </w:r>
    </w:p>
    <w:p w:rsidR="00A357C1" w:rsidRDefault="004B5030" w:rsidP="00F65B78">
      <w:pPr>
        <w:pStyle w:val="Textkrper"/>
      </w:pPr>
      <w:r>
        <w:rPr>
          <w:noProof/>
          <w:lang w:eastAsia="de-DE"/>
        </w:rPr>
        <w:drawing>
          <wp:anchor distT="0" distB="0" distL="114300" distR="114300" simplePos="0" relativeHeight="251676672" behindDoc="0" locked="0" layoutInCell="1" allowOverlap="1">
            <wp:simplePos x="0" y="0"/>
            <wp:positionH relativeFrom="column">
              <wp:posOffset>-635</wp:posOffset>
            </wp:positionH>
            <wp:positionV relativeFrom="paragraph">
              <wp:posOffset>1280849</wp:posOffset>
            </wp:positionV>
            <wp:extent cx="4198620" cy="2613660"/>
            <wp:effectExtent l="0" t="0" r="0" b="0"/>
            <wp:wrapSquare wrapText="bothSides"/>
            <wp:docPr id="18" name="Grafik 18" descr="Ein Bild, das Person, sitzend,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Person, sitzend, draußen, Gebäude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98620" cy="2613660"/>
                    </a:xfrm>
                    <a:prstGeom prst="rect">
                      <a:avLst/>
                    </a:prstGeom>
                  </pic:spPr>
                </pic:pic>
              </a:graphicData>
            </a:graphic>
          </wp:anchor>
        </w:drawing>
      </w:r>
      <w:r w:rsidR="00F65B78">
        <w:t>Die Nahrungsmittelkonzerne haben in Indien einen großen Einfluss, wobei hier be</w:t>
      </w:r>
      <w:r w:rsidR="00F65B78">
        <w:softHyphen/>
        <w:t>merkenswert ist, dass viele dieser Konzerne in Indien beheimatet sind</w:t>
      </w:r>
      <w:r w:rsidR="00F65B78">
        <w:rPr>
          <w:rStyle w:val="Funotenzeichen"/>
        </w:rPr>
        <w:footnoteReference w:id="19"/>
      </w:r>
      <w:r w:rsidR="00F65B78">
        <w:t xml:space="preserve">. Werbung für Junkfood erreicht weiterhin die </w:t>
      </w:r>
      <w:proofErr w:type="spellStart"/>
      <w:proofErr w:type="gramStart"/>
      <w:r w:rsidR="00F65B78">
        <w:t>SuS</w:t>
      </w:r>
      <w:proofErr w:type="spellEnd"/>
      <w:r w:rsidR="00F65B78">
        <w:t xml:space="preserve"> ,</w:t>
      </w:r>
      <w:proofErr w:type="gramEnd"/>
      <w:r w:rsidR="00F65B78">
        <w:t xml:space="preserve"> obwohl Indien bereits 2006 ein gesetzliches Verbot für irreführende Werbung in diesem Bereich (Food </w:t>
      </w:r>
      <w:proofErr w:type="spellStart"/>
      <w:r w:rsidR="00F65B78">
        <w:t>Safety</w:t>
      </w:r>
      <w:proofErr w:type="spellEnd"/>
      <w:r w:rsidR="00F65B78">
        <w:t xml:space="preserve"> </w:t>
      </w:r>
      <w:proofErr w:type="spellStart"/>
      <w:r w:rsidR="00F65B78">
        <w:t>and</w:t>
      </w:r>
      <w:proofErr w:type="spellEnd"/>
      <w:r w:rsidR="00F65B78">
        <w:t xml:space="preserve"> Standards Act) erlassen hat. Die meisten Experten*innen sind sich einig, dass es einen integrierten Ansatz braucht, wenn es eine gesündere Ernährung gerade unter Kindern und Jugendlichen geben soll: Ein Angebot gesunder Lebensmittel (gerade auch in der Schulverpfle</w:t>
      </w:r>
      <w:r w:rsidR="00F65B78">
        <w:softHyphen/>
        <w:t>gung), aber auch Aufklärung für Schüler*innen und Eltern, Programme für Sport und Be</w:t>
      </w:r>
      <w:r w:rsidR="00F65B78">
        <w:softHyphen/>
        <w:t>wegung und eine Qualitäts-Kenn</w:t>
      </w:r>
      <w:r w:rsidR="00F65B78">
        <w:softHyphen/>
        <w:t>zeichnung der Pro</w:t>
      </w:r>
      <w:r w:rsidR="00F65B78">
        <w:softHyphen/>
        <w:t>dukte. Immerhin: Seit Dezember 2019 gibt es in In</w:t>
      </w:r>
      <w:r w:rsidR="00F65B78">
        <w:softHyphen/>
        <w:t>dien ein Verbot von Junkfood in den Schulen und eine Werbeverbot hierfür im Umkreis von 50 Metern des Schulgeländes</w:t>
      </w:r>
      <w:r w:rsidR="00F65B78">
        <w:rPr>
          <w:rStyle w:val="Funotenzeichen"/>
        </w:rPr>
        <w:footnoteReference w:id="20"/>
      </w:r>
      <w:r w:rsidR="00F65B78">
        <w:t>.</w:t>
      </w:r>
    </w:p>
    <w:p w:rsidR="00EA270F" w:rsidRDefault="00EA270F" w:rsidP="00926DA4">
      <w:pPr>
        <w:pStyle w:val="Fotonachweisfett"/>
      </w:pPr>
    </w:p>
    <w:p w:rsidR="00EA270F" w:rsidRDefault="00EA270F" w:rsidP="00926DA4">
      <w:pPr>
        <w:pStyle w:val="Fotonachweisfett"/>
      </w:pPr>
    </w:p>
    <w:p w:rsidR="00926DA4" w:rsidRDefault="00926DA4" w:rsidP="00926DA4">
      <w:pPr>
        <w:pStyle w:val="Fotonachweisfett"/>
      </w:pPr>
    </w:p>
    <w:p w:rsidR="00EA270F" w:rsidRPr="00705DFA" w:rsidRDefault="00EA270F" w:rsidP="00926DA4">
      <w:pPr>
        <w:pStyle w:val="Fotonachweisfett"/>
      </w:pPr>
      <w:r>
        <w:t>F</w:t>
      </w:r>
      <w:r w:rsidRPr="00705DFA">
        <w:t>oto: Daily Post.in</w:t>
      </w:r>
    </w:p>
    <w:p w:rsidR="00744DE9" w:rsidRDefault="00744DE9" w:rsidP="00744DE9">
      <w:pPr>
        <w:pStyle w:val="AB-Nr"/>
        <w:rPr>
          <w:sz w:val="40"/>
          <w:szCs w:val="40"/>
        </w:rPr>
      </w:pPr>
      <w:r w:rsidRPr="009D3B37">
        <w:lastRenderedPageBreak/>
        <w:t>M5-</w:t>
      </w:r>
      <w:r>
        <w:t>5</w:t>
      </w:r>
    </w:p>
    <w:p w:rsidR="00744DE9" w:rsidRDefault="00744DE9" w:rsidP="00744DE9">
      <w:r>
        <w:rPr>
          <w:noProof/>
          <w:lang w:eastAsia="de-DE"/>
        </w:rPr>
        <w:drawing>
          <wp:anchor distT="0" distB="0" distL="114300" distR="114300" simplePos="0" relativeHeight="251682816" behindDoc="0" locked="0" layoutInCell="1" allowOverlap="0">
            <wp:simplePos x="0" y="0"/>
            <wp:positionH relativeFrom="column">
              <wp:posOffset>4940246</wp:posOffset>
            </wp:positionH>
            <wp:positionV relativeFrom="page">
              <wp:posOffset>1260475</wp:posOffset>
            </wp:positionV>
            <wp:extent cx="1234800" cy="820800"/>
            <wp:effectExtent l="0" t="0" r="3810" b="0"/>
            <wp:wrapSquare wrapText="bothSides"/>
            <wp:docPr id="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48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031AE7">
        <w:rPr>
          <w:b/>
          <w:bCs/>
          <w:color w:val="C00000"/>
          <w:sz w:val="40"/>
          <w:szCs w:val="40"/>
        </w:rPr>
        <w:t>Factsheet</w:t>
      </w:r>
      <w:proofErr w:type="spellEnd"/>
      <w:r w:rsidRPr="00031AE7">
        <w:rPr>
          <w:b/>
          <w:bCs/>
          <w:color w:val="C00000"/>
          <w:sz w:val="40"/>
          <w:szCs w:val="40"/>
        </w:rPr>
        <w:t xml:space="preserve"> Südafrika</w:t>
      </w:r>
    </w:p>
    <w:p w:rsidR="00744DE9" w:rsidRDefault="00744DE9" w:rsidP="00744DE9"/>
    <w:p w:rsidR="00744DE9" w:rsidRDefault="00744DE9" w:rsidP="00744DE9"/>
    <w:p w:rsidR="00744DE9" w:rsidRDefault="00744DE9" w:rsidP="00744DE9"/>
    <w:p w:rsidR="00744DE9" w:rsidRDefault="00744DE9" w:rsidP="00744DE9"/>
    <w:p w:rsidR="00744DE9" w:rsidRDefault="00744DE9" w:rsidP="00744DE9"/>
    <w:tbl>
      <w:tblPr>
        <w:tblStyle w:val="Tabellenrast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701"/>
      </w:tblGrid>
      <w:tr w:rsidR="00744DE9" w:rsidTr="00744DE9">
        <w:trPr>
          <w:trHeight w:val="340"/>
        </w:trPr>
        <w:tc>
          <w:tcPr>
            <w:tcW w:w="8075" w:type="dxa"/>
            <w:shd w:val="clear" w:color="auto" w:fill="BDD6EE" w:themeFill="accent1" w:themeFillTint="66"/>
            <w:vAlign w:val="center"/>
          </w:tcPr>
          <w:p w:rsidR="00744DE9" w:rsidRDefault="00744DE9" w:rsidP="002C7DB1">
            <w:r>
              <w:t>Bevölkerung</w:t>
            </w:r>
            <w:r>
              <w:rPr>
                <w:rStyle w:val="Funotenzeichen"/>
              </w:rPr>
              <w:footnoteReference w:id="21"/>
            </w:r>
          </w:p>
        </w:tc>
        <w:tc>
          <w:tcPr>
            <w:tcW w:w="1701" w:type="dxa"/>
            <w:shd w:val="clear" w:color="auto" w:fill="BDD6EE" w:themeFill="accent1" w:themeFillTint="66"/>
            <w:vAlign w:val="center"/>
          </w:tcPr>
          <w:p w:rsidR="00744DE9" w:rsidRDefault="00744DE9" w:rsidP="002C7DB1">
            <w:r>
              <w:t>57,9 Mio.</w:t>
            </w:r>
          </w:p>
        </w:tc>
      </w:tr>
      <w:tr w:rsidR="00744DE9" w:rsidTr="00744DE9">
        <w:trPr>
          <w:trHeight w:val="340"/>
        </w:trPr>
        <w:tc>
          <w:tcPr>
            <w:tcW w:w="8075" w:type="dxa"/>
            <w:vAlign w:val="center"/>
          </w:tcPr>
          <w:p w:rsidR="00744DE9" w:rsidRDefault="00744DE9" w:rsidP="002C7DB1">
            <w:r>
              <w:t>Lebenserwartung</w:t>
            </w:r>
          </w:p>
        </w:tc>
        <w:tc>
          <w:tcPr>
            <w:tcW w:w="1701" w:type="dxa"/>
            <w:vAlign w:val="center"/>
          </w:tcPr>
          <w:p w:rsidR="00744DE9" w:rsidRDefault="00744DE9" w:rsidP="002C7DB1">
            <w:r>
              <w:t>63,9 Jahre</w:t>
            </w:r>
          </w:p>
        </w:tc>
      </w:tr>
      <w:tr w:rsidR="00744DE9" w:rsidTr="00744DE9">
        <w:trPr>
          <w:trHeight w:val="340"/>
        </w:trPr>
        <w:tc>
          <w:tcPr>
            <w:tcW w:w="8075" w:type="dxa"/>
            <w:shd w:val="clear" w:color="auto" w:fill="BDD6EE" w:themeFill="accent1" w:themeFillTint="66"/>
            <w:vAlign w:val="center"/>
          </w:tcPr>
          <w:p w:rsidR="00744DE9" w:rsidRDefault="00744DE9" w:rsidP="002C7DB1">
            <w:r>
              <w:t xml:space="preserve">Anteil der extrem Armen (&lt; 1,90 $ </w:t>
            </w:r>
            <w:proofErr w:type="spellStart"/>
            <w:r>
              <w:t>PPP</w:t>
            </w:r>
            <w:proofErr w:type="spellEnd"/>
            <w:r>
              <w:t>/Tag)</w:t>
            </w:r>
          </w:p>
        </w:tc>
        <w:tc>
          <w:tcPr>
            <w:tcW w:w="1701" w:type="dxa"/>
            <w:shd w:val="clear" w:color="auto" w:fill="BDD6EE" w:themeFill="accent1" w:themeFillTint="66"/>
            <w:vAlign w:val="center"/>
          </w:tcPr>
          <w:p w:rsidR="00744DE9" w:rsidRDefault="00744DE9" w:rsidP="002C7DB1">
            <w:r>
              <w:t>18,9%</w:t>
            </w:r>
          </w:p>
        </w:tc>
      </w:tr>
      <w:tr w:rsidR="00744DE9" w:rsidTr="00744DE9">
        <w:trPr>
          <w:trHeight w:val="340"/>
        </w:trPr>
        <w:tc>
          <w:tcPr>
            <w:tcW w:w="8075" w:type="dxa"/>
            <w:shd w:val="clear" w:color="auto" w:fill="auto"/>
            <w:vAlign w:val="center"/>
          </w:tcPr>
          <w:p w:rsidR="00744DE9" w:rsidRDefault="00744DE9" w:rsidP="002C7DB1">
            <w:r>
              <w:t>Anteil der Menschen unterhalb der nationalen Armutsgrenze</w:t>
            </w:r>
          </w:p>
        </w:tc>
        <w:tc>
          <w:tcPr>
            <w:tcW w:w="1701" w:type="dxa"/>
            <w:shd w:val="clear" w:color="auto" w:fill="auto"/>
            <w:vAlign w:val="center"/>
          </w:tcPr>
          <w:p w:rsidR="00744DE9" w:rsidRDefault="00744DE9" w:rsidP="002C7DB1">
            <w:r>
              <w:t>55,5%</w:t>
            </w:r>
          </w:p>
        </w:tc>
      </w:tr>
      <w:tr w:rsidR="00744DE9" w:rsidTr="00744DE9">
        <w:trPr>
          <w:trHeight w:val="340"/>
        </w:trPr>
        <w:tc>
          <w:tcPr>
            <w:tcW w:w="8075" w:type="dxa"/>
            <w:shd w:val="clear" w:color="auto" w:fill="BDD6EE" w:themeFill="accent1" w:themeFillTint="66"/>
            <w:vAlign w:val="center"/>
          </w:tcPr>
          <w:p w:rsidR="00744DE9" w:rsidRDefault="00744DE9" w:rsidP="002C7DB1">
            <w:r>
              <w:t>Anzahl der Unterernährten (2016-2018)</w:t>
            </w:r>
          </w:p>
        </w:tc>
        <w:tc>
          <w:tcPr>
            <w:tcW w:w="1701" w:type="dxa"/>
            <w:shd w:val="clear" w:color="auto" w:fill="BDD6EE" w:themeFill="accent1" w:themeFillTint="66"/>
            <w:vAlign w:val="center"/>
          </w:tcPr>
          <w:p w:rsidR="00744DE9" w:rsidRDefault="00744DE9" w:rsidP="002C7DB1">
            <w:r>
              <w:t>3,5 Mio.</w:t>
            </w:r>
          </w:p>
        </w:tc>
      </w:tr>
      <w:tr w:rsidR="00744DE9" w:rsidTr="00744DE9">
        <w:trPr>
          <w:trHeight w:val="340"/>
        </w:trPr>
        <w:tc>
          <w:tcPr>
            <w:tcW w:w="8075" w:type="dxa"/>
            <w:vAlign w:val="center"/>
          </w:tcPr>
          <w:p w:rsidR="00744DE9" w:rsidRDefault="00926DA4" w:rsidP="002C7DB1">
            <w:r>
              <w:rPr>
                <w:rFonts w:cs="Calibri"/>
              </w:rPr>
              <w:t>–</w:t>
            </w:r>
            <w:r w:rsidR="00744DE9">
              <w:t xml:space="preserve"> davon: Veränderungen 2016/18 zu 2004/06</w:t>
            </w:r>
          </w:p>
        </w:tc>
        <w:tc>
          <w:tcPr>
            <w:tcW w:w="1701" w:type="dxa"/>
            <w:vAlign w:val="center"/>
          </w:tcPr>
          <w:p w:rsidR="00744DE9" w:rsidRDefault="00744DE9" w:rsidP="002C7DB1">
            <w:r>
              <w:t>+ 67%</w:t>
            </w:r>
          </w:p>
        </w:tc>
      </w:tr>
      <w:tr w:rsidR="00744DE9" w:rsidTr="00744DE9">
        <w:trPr>
          <w:trHeight w:val="340"/>
        </w:trPr>
        <w:tc>
          <w:tcPr>
            <w:tcW w:w="8075" w:type="dxa"/>
            <w:shd w:val="clear" w:color="auto" w:fill="BDD6EE" w:themeFill="accent1" w:themeFillTint="66"/>
            <w:vAlign w:val="center"/>
          </w:tcPr>
          <w:p w:rsidR="00744DE9" w:rsidRDefault="00744DE9" w:rsidP="002C7DB1">
            <w:r>
              <w:t>Anteil der Unterernährten</w:t>
            </w:r>
          </w:p>
        </w:tc>
        <w:tc>
          <w:tcPr>
            <w:tcW w:w="1701" w:type="dxa"/>
            <w:shd w:val="clear" w:color="auto" w:fill="BDD6EE" w:themeFill="accent1" w:themeFillTint="66"/>
            <w:vAlign w:val="center"/>
          </w:tcPr>
          <w:p w:rsidR="00744DE9" w:rsidRDefault="00744DE9" w:rsidP="002C7DB1">
            <w:r>
              <w:t>6,2%</w:t>
            </w:r>
          </w:p>
        </w:tc>
      </w:tr>
      <w:tr w:rsidR="00744DE9" w:rsidTr="00744DE9">
        <w:trPr>
          <w:trHeight w:val="340"/>
        </w:trPr>
        <w:tc>
          <w:tcPr>
            <w:tcW w:w="8075" w:type="dxa"/>
            <w:vAlign w:val="center"/>
          </w:tcPr>
          <w:p w:rsidR="00744DE9" w:rsidRDefault="00744DE9" w:rsidP="002C7DB1">
            <w:r>
              <w:t>Anteil der zu kleinen Kinder infolge Hunger (</w:t>
            </w:r>
            <w:proofErr w:type="spellStart"/>
            <w:r>
              <w:t>Stunting</w:t>
            </w:r>
            <w:proofErr w:type="spellEnd"/>
            <w:r>
              <w:t>)</w:t>
            </w:r>
          </w:p>
        </w:tc>
        <w:tc>
          <w:tcPr>
            <w:tcW w:w="1701" w:type="dxa"/>
            <w:vAlign w:val="center"/>
          </w:tcPr>
          <w:p w:rsidR="00744DE9" w:rsidRDefault="00744DE9" w:rsidP="002C7DB1">
            <w:r>
              <w:t>27,4%</w:t>
            </w:r>
          </w:p>
        </w:tc>
      </w:tr>
      <w:tr w:rsidR="00744DE9" w:rsidTr="00744DE9">
        <w:trPr>
          <w:trHeight w:val="340"/>
        </w:trPr>
        <w:tc>
          <w:tcPr>
            <w:tcW w:w="8075" w:type="dxa"/>
            <w:shd w:val="clear" w:color="auto" w:fill="BDD6EE" w:themeFill="accent1" w:themeFillTint="66"/>
            <w:vAlign w:val="center"/>
          </w:tcPr>
          <w:p w:rsidR="00744DE9" w:rsidRDefault="00744DE9" w:rsidP="002C7DB1">
            <w:r>
              <w:t xml:space="preserve">Anteil übergewichtige Kinder (unter 5 Jahre) </w:t>
            </w:r>
          </w:p>
        </w:tc>
        <w:tc>
          <w:tcPr>
            <w:tcW w:w="1701" w:type="dxa"/>
            <w:shd w:val="clear" w:color="auto" w:fill="BDD6EE" w:themeFill="accent1" w:themeFillTint="66"/>
            <w:vAlign w:val="center"/>
          </w:tcPr>
          <w:p w:rsidR="00744DE9" w:rsidRDefault="00744DE9" w:rsidP="002C7DB1">
            <w:r>
              <w:t>13,3%</w:t>
            </w:r>
          </w:p>
        </w:tc>
      </w:tr>
      <w:tr w:rsidR="00744DE9" w:rsidTr="00744DE9">
        <w:trPr>
          <w:trHeight w:val="340"/>
        </w:trPr>
        <w:tc>
          <w:tcPr>
            <w:tcW w:w="8075" w:type="dxa"/>
            <w:vAlign w:val="center"/>
          </w:tcPr>
          <w:p w:rsidR="00744DE9" w:rsidRDefault="00744DE9" w:rsidP="002C7DB1">
            <w:r>
              <w:t>Anteil Übergewichtige Erwachsene</w:t>
            </w:r>
          </w:p>
        </w:tc>
        <w:tc>
          <w:tcPr>
            <w:tcW w:w="1701" w:type="dxa"/>
            <w:vAlign w:val="center"/>
          </w:tcPr>
          <w:p w:rsidR="00744DE9" w:rsidRDefault="00744DE9" w:rsidP="002C7DB1">
            <w:r>
              <w:t>55%</w:t>
            </w:r>
          </w:p>
        </w:tc>
      </w:tr>
      <w:tr w:rsidR="00744DE9" w:rsidTr="00744DE9">
        <w:trPr>
          <w:trHeight w:val="340"/>
        </w:trPr>
        <w:tc>
          <w:tcPr>
            <w:tcW w:w="8075" w:type="dxa"/>
            <w:shd w:val="clear" w:color="auto" w:fill="BDD6EE" w:themeFill="accent1" w:themeFillTint="66"/>
            <w:vAlign w:val="center"/>
          </w:tcPr>
          <w:p w:rsidR="00744DE9" w:rsidRDefault="00744DE9" w:rsidP="002C7DB1">
            <w:r>
              <w:t>Anteil Erwachsene Adipositas (2016)</w:t>
            </w:r>
          </w:p>
        </w:tc>
        <w:tc>
          <w:tcPr>
            <w:tcW w:w="1701" w:type="dxa"/>
            <w:shd w:val="clear" w:color="auto" w:fill="BDD6EE" w:themeFill="accent1" w:themeFillTint="66"/>
            <w:vAlign w:val="center"/>
          </w:tcPr>
          <w:p w:rsidR="00744DE9" w:rsidRDefault="00744DE9" w:rsidP="002C7DB1">
            <w:r>
              <w:t>27,0%</w:t>
            </w:r>
            <w:r>
              <w:rPr>
                <w:rStyle w:val="Funotenzeichen"/>
              </w:rPr>
              <w:footnoteReference w:id="22"/>
            </w:r>
          </w:p>
        </w:tc>
      </w:tr>
    </w:tbl>
    <w:p w:rsidR="00744DE9" w:rsidRDefault="00744DE9" w:rsidP="00744DE9"/>
    <w:p w:rsidR="00744DE9" w:rsidRDefault="00744DE9" w:rsidP="00926DA4">
      <w:pPr>
        <w:pStyle w:val="Textkrper"/>
      </w:pPr>
      <w:r>
        <w:t>Südafrika ist von einem ganz besonders rasanten Ernährungswandel betroffen, der auch hier beide Formen der Fehlernährung – Unterernährung und Überernährung – zur Folge hat. So galten 2018 rund 70% der Frauen und rund 40% der Männer als übergewichtig. Mehr als jeder vierte Südafrikaner/Südafrikanerin ist sogar adipös (</w:t>
      </w:r>
      <w:proofErr w:type="spellStart"/>
      <w:r>
        <w:t>BMI</w:t>
      </w:r>
      <w:proofErr w:type="spellEnd"/>
      <w:r w:rsidR="00926DA4">
        <w:t xml:space="preserve"> </w:t>
      </w:r>
      <w:r>
        <w:t xml:space="preserve">&gt;30). Gleichzeitig sind Hunger und Unterernährung bei 26% der Bevölkerung anzutreffen. Unter den Kindern ist das </w:t>
      </w:r>
      <w:r w:rsidR="00926DA4">
        <w:t>„</w:t>
      </w:r>
      <w:proofErr w:type="spellStart"/>
      <w:r>
        <w:t>Stunting</w:t>
      </w:r>
      <w:proofErr w:type="spellEnd"/>
      <w:r w:rsidR="00926DA4">
        <w:t>“</w:t>
      </w:r>
      <w:r>
        <w:t xml:space="preserve"> – Kleinwuchs infolge unzureichender Ern</w:t>
      </w:r>
      <w:r w:rsidR="00926DA4">
        <w:t>ährung – weit verbreitet (27%).</w:t>
      </w:r>
    </w:p>
    <w:p w:rsidR="00744DE9" w:rsidRDefault="00744DE9" w:rsidP="00926DA4">
      <w:pPr>
        <w:pStyle w:val="Textkrper"/>
      </w:pPr>
      <w:r>
        <w:t>Wie auch in anderen Ländern, so sind es gerade ärmere Bevölkerungsgruppen, die den Ernährungswandel hin zu industriellem Junkfood vollziehen. Dabei spielt auch in Südafrika der Preis für die Frage, wie sich Menschen ernähren, eine große Rolle</w:t>
      </w:r>
      <w:r>
        <w:rPr>
          <w:rStyle w:val="Funotenzeichen"/>
        </w:rPr>
        <w:footnoteReference w:id="23"/>
      </w:r>
      <w:r>
        <w:t>. Weißbrot, Dosenprodukte und Softdrinks erscheinen allemal billiger als Obst, Gemüse oder Vollkornbrot. Gleichzeitig nimmt auch im Zuge der Urbanisierung der Gemüs</w:t>
      </w:r>
      <w:r w:rsidR="00926DA4">
        <w:t>eanbau für den Eigenkonsum ab.</w:t>
      </w:r>
    </w:p>
    <w:p w:rsidR="00744DE9" w:rsidRDefault="00744DE9" w:rsidP="00926DA4">
      <w:pPr>
        <w:pStyle w:val="Textkrper"/>
      </w:pPr>
      <w:r>
        <w:t xml:space="preserve">Nahrungsmittelkonzerne forcieren den Ernährungswandel, wobei in Südafrika nicht nur ausländische, sondern auch einheimische Industrieproduzenten von Nahrungsmitteln eine wichtige Rolle spielen. Coca Cola, Pepsi Co oder </w:t>
      </w:r>
      <w:proofErr w:type="spellStart"/>
      <w:r>
        <w:t>Danone</w:t>
      </w:r>
      <w:proofErr w:type="spellEnd"/>
      <w:r>
        <w:t xml:space="preserve"> kooperieren mit einheimischen Großfirmen und haben so eine große Marktmacht aufgebaut. Big Food ist in Südafrika omnipräsent, was vor allem in der Fernsehwerbung zu beobachten i</w:t>
      </w:r>
      <w:r w:rsidR="00926DA4">
        <w:t>st. Dies gilt insbesondere für „Coca Cola“</w:t>
      </w:r>
      <w:r>
        <w:t xml:space="preserve">, deren Softdrink-Marktanteil bei rund 50% liegt. Dabei erobern die Nahrungskonzerne systematisch die Townships, halten spezielle Angebote gerade für die ärmere Bevölkerung in den Townships bereit. </w:t>
      </w:r>
      <w:r w:rsidRPr="009D3B37">
        <w:t>Hervorzuheben ist hier der Konzern</w:t>
      </w:r>
      <w:r w:rsidR="00926DA4">
        <w:t xml:space="preserve"> „</w:t>
      </w:r>
      <w:proofErr w:type="spellStart"/>
      <w:r w:rsidR="00926DA4">
        <w:t>Nandos</w:t>
      </w:r>
      <w:proofErr w:type="spellEnd"/>
      <w:r w:rsidR="00926DA4">
        <w:t>“</w:t>
      </w:r>
      <w:r>
        <w:t>, ein südafrikanisches Unterneh</w:t>
      </w:r>
      <w:r w:rsidR="00926DA4">
        <w:t>men, das „erschwingliche“</w:t>
      </w:r>
      <w:r>
        <w:t xml:space="preserve"> Fast-Food-Produkte für die ganze Familie anbietet und dabei auch im Marketing außerordentlich erfolgreich ist.</w:t>
      </w:r>
    </w:p>
    <w:p w:rsidR="00744DE9" w:rsidRDefault="00744DE9" w:rsidP="00926DA4">
      <w:pPr>
        <w:pStyle w:val="Textkrper"/>
      </w:pPr>
      <w:r>
        <w:lastRenderedPageBreak/>
        <w:t xml:space="preserve">Lange Zeit hat die südafrikanische Regierung diese Entwicklung hin zu immer mehr Junkfood-Food-Konsum ignoriert. Seit 2002 gibt es aber eine Reihe von staatlichen Initiativen, die versuchen, den Menschen und dabei vor allem den ärmeren Bevölkerungsgruppen die Notwendigkeit einer gesünderen Ernährung näher zu bringen. Zu diesen strategischen Maßnahmen gehören auch Programme gegen Übergewicht und Adipositas. Dies geschah lange Zeit in Kooperation mit den Big-Food-Unternehmen. Seit einigen Jahren wurden aber auch Maßnahmen realisiert gegen den Widerstand von Big Food. Südafrika ist das erste Land der Welt, das Vorschriften für eine Salzobergrenze erlassen hat, nachdem der Überkonsum von salzhaltigen Lebensmitteln festgestellt worden war. Südafrika ist auch das erste afrikanische Land, das eine Zuckersteuer (2019) eingeführt hat – auch dies gegen zahlreiche Widerstände. </w:t>
      </w:r>
    </w:p>
    <w:p w:rsidR="00744DE9" w:rsidRPr="00926DA4" w:rsidRDefault="00926DA4" w:rsidP="00926DA4">
      <w:pPr>
        <w:pStyle w:val="Textkrper"/>
        <w:rPr>
          <w:lang w:val="de-CH"/>
        </w:rPr>
      </w:pPr>
      <w:r>
        <w:rPr>
          <w:noProof/>
          <w:lang w:eastAsia="de-DE"/>
        </w:rPr>
        <w:drawing>
          <wp:anchor distT="180340" distB="107950" distL="114300" distR="114300" simplePos="0" relativeHeight="251683840" behindDoc="0" locked="0" layoutInCell="1" allowOverlap="1">
            <wp:simplePos x="0" y="0"/>
            <wp:positionH relativeFrom="column">
              <wp:posOffset>0</wp:posOffset>
            </wp:positionH>
            <wp:positionV relativeFrom="paragraph">
              <wp:posOffset>1631436</wp:posOffset>
            </wp:positionV>
            <wp:extent cx="6120000" cy="4590000"/>
            <wp:effectExtent l="0" t="0" r="0" b="1270"/>
            <wp:wrapTopAndBottom/>
            <wp:docPr id="42" name="Grafik 42" descr="Globally, more children are overweight and obese than under-nourished and stunted. &lt;b&gt;Photo&lt;/b&gt; Penny Dick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ly, more children are overweight and obese than under-nourished and stunted. &lt;b&gt;Photo&lt;/b&gt; Penny Dickers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000" cy="4590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CH"/>
        </w:rPr>
        <w:t>„</w:t>
      </w:r>
      <w:r w:rsidR="00744DE9" w:rsidRPr="00DE6235">
        <w:rPr>
          <w:lang w:val="de-CH"/>
        </w:rPr>
        <w:t>Zusammenfassend</w:t>
      </w:r>
      <w:r>
        <w:rPr>
          <w:lang w:val="de-CH"/>
        </w:rPr>
        <w:t>“, so Diana Haag, „</w:t>
      </w:r>
      <w:r w:rsidR="00744DE9" w:rsidRPr="00DE6235">
        <w:rPr>
          <w:lang w:val="de-CH"/>
        </w:rPr>
        <w:t>kann festgehalten werden, dass Südafrika über relativ fortschrittliche gesetzliche Rahmenbedingungen verfügt, um eine gesündere Ernährung und damit die Eindämmung von Unterernährung und Mikronährstoffmangel</w:t>
      </w:r>
      <w:r w:rsidR="00744DE9">
        <w:rPr>
          <w:lang w:val="de-CH"/>
        </w:rPr>
        <w:t xml:space="preserve"> einerseits und von </w:t>
      </w:r>
      <w:r w:rsidR="00744DE9" w:rsidRPr="00DE6235">
        <w:rPr>
          <w:lang w:val="de-CH"/>
        </w:rPr>
        <w:t>Übergewicht</w:t>
      </w:r>
      <w:r w:rsidR="00744DE9">
        <w:rPr>
          <w:lang w:val="de-CH"/>
        </w:rPr>
        <w:t xml:space="preserve"> und</w:t>
      </w:r>
      <w:r w:rsidR="00744DE9" w:rsidRPr="00DE6235">
        <w:rPr>
          <w:lang w:val="de-CH"/>
        </w:rPr>
        <w:t xml:space="preserve"> Fettleibigkeit </w:t>
      </w:r>
      <w:r w:rsidR="00744DE9">
        <w:rPr>
          <w:lang w:val="de-CH"/>
        </w:rPr>
        <w:t xml:space="preserve">andererseits </w:t>
      </w:r>
      <w:r w:rsidR="00744DE9" w:rsidRPr="009D3B37">
        <w:rPr>
          <w:lang w:val="de-CH"/>
        </w:rPr>
        <w:t>durchzusetzen. Die</w:t>
      </w:r>
      <w:r w:rsidR="00744DE9" w:rsidRPr="00DE6235">
        <w:rPr>
          <w:lang w:val="de-CH"/>
        </w:rPr>
        <w:t xml:space="preserve"> südafrikanische Regierung hat zudem in mehreren Fällen gezeigt, dass sie im Stande ist, sich gegen Industrievertreter durchzusetzen</w:t>
      </w:r>
      <w:r>
        <w:rPr>
          <w:lang w:val="de-CH"/>
        </w:rPr>
        <w:t>.“</w:t>
      </w:r>
      <w:r w:rsidR="00744DE9">
        <w:rPr>
          <w:rStyle w:val="Funotenzeichen"/>
          <w:lang w:val="de-CH"/>
        </w:rPr>
        <w:footnoteReference w:id="24"/>
      </w:r>
      <w:r w:rsidR="00744DE9">
        <w:rPr>
          <w:lang w:val="de-CH"/>
        </w:rPr>
        <w:t xml:space="preserve"> Ob dies bei fortgesetzten Werbeanstrengungen von Big Food langfristig erfolgreich ist und verhindern kann, dass Übergewicht und Fehlernährung in Südafrika immer weiter zunehmen, bleibt abzuwarten.</w:t>
      </w:r>
    </w:p>
    <w:p w:rsidR="00744DE9" w:rsidRPr="00E24F63" w:rsidRDefault="00744DE9" w:rsidP="00926DA4">
      <w:pPr>
        <w:pStyle w:val="Fotonachweisfett"/>
      </w:pPr>
      <w:r>
        <w:t xml:space="preserve">Foto: Penny </w:t>
      </w:r>
      <w:proofErr w:type="spellStart"/>
      <w:r>
        <w:t>Dickerson</w:t>
      </w:r>
      <w:proofErr w:type="spellEnd"/>
      <w:r>
        <w:t>, Uni Kapstadt</w:t>
      </w:r>
    </w:p>
    <w:p w:rsidR="00744DE9" w:rsidRPr="00243366" w:rsidRDefault="00970051" w:rsidP="00926DA4">
      <w:pPr>
        <w:pStyle w:val="AB-Nr"/>
      </w:pPr>
      <w:r>
        <w:rPr>
          <w:noProof/>
          <w:sz w:val="20"/>
          <w:szCs w:val="20"/>
          <w:lang w:eastAsia="de-DE"/>
        </w:rPr>
        <w:lastRenderedPageBreak/>
        <w:drawing>
          <wp:anchor distT="0" distB="0" distL="114300" distR="114300" simplePos="0" relativeHeight="251684864" behindDoc="1" locked="0" layoutInCell="1" allowOverlap="1">
            <wp:simplePos x="0" y="0"/>
            <wp:positionH relativeFrom="column">
              <wp:posOffset>4886271</wp:posOffset>
            </wp:positionH>
            <wp:positionV relativeFrom="page">
              <wp:posOffset>1045763</wp:posOffset>
            </wp:positionV>
            <wp:extent cx="1234800" cy="867600"/>
            <wp:effectExtent l="0" t="0" r="3810" b="8890"/>
            <wp:wrapTight wrapText="bothSides">
              <wp:wrapPolygon edited="0">
                <wp:start x="0" y="0"/>
                <wp:lineTo x="0" y="21347"/>
                <wp:lineTo x="21333" y="21347"/>
                <wp:lineTo x="2133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48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DE9" w:rsidRPr="00243366">
        <w:t>M-5</w:t>
      </w:r>
      <w:r w:rsidR="00744DE9" w:rsidRPr="00926DA4">
        <w:rPr>
          <w:rStyle w:val="AB-NrZchn"/>
        </w:rPr>
        <w:t>-</w:t>
      </w:r>
      <w:r w:rsidR="00744DE9">
        <w:t>6</w:t>
      </w:r>
    </w:p>
    <w:p w:rsidR="00744DE9" w:rsidRPr="00970051" w:rsidRDefault="00744DE9" w:rsidP="00970051">
      <w:pPr>
        <w:pStyle w:val="Head2rot"/>
        <w:rPr>
          <w:color w:val="000000" w:themeColor="text1"/>
        </w:rPr>
      </w:pPr>
      <w:r w:rsidRPr="00243366">
        <w:t>Links zur Ernährungslage in Brasilien</w:t>
      </w:r>
    </w:p>
    <w:bookmarkStart w:id="1" w:name="_GoBack"/>
    <w:p w:rsidR="00744DE9" w:rsidRDefault="00646069" w:rsidP="00970051">
      <w:pPr>
        <w:pStyle w:val="ListeLinks"/>
        <w:rPr>
          <w:color w:val="000000" w:themeColor="text1"/>
        </w:rPr>
      </w:pPr>
      <w:r>
        <w:rPr>
          <w:rStyle w:val="Hyperlink"/>
        </w:rPr>
        <w:fldChar w:fldCharType="begin"/>
      </w:r>
      <w:r>
        <w:rPr>
          <w:rStyle w:val="Hyperlink"/>
        </w:rPr>
        <w:instrText xml:space="preserve"> HYPERLINK "https://www.statista.com/statistics/781286/share-adult-people-overweight-brazil/" </w:instrText>
      </w:r>
      <w:r>
        <w:rPr>
          <w:rStyle w:val="Hyperlink"/>
        </w:rPr>
        <w:fldChar w:fldCharType="separate"/>
      </w:r>
      <w:r w:rsidR="00744DE9" w:rsidRPr="00FE4EB6">
        <w:rPr>
          <w:rStyle w:val="Hyperlink"/>
        </w:rPr>
        <w:t>https://www.statista.com/statistics/781286/share-adult-people-overweight-brazil/</w:t>
      </w:r>
      <w:r>
        <w:rPr>
          <w:rStyle w:val="Hyperlink"/>
        </w:rPr>
        <w:fldChar w:fldCharType="end"/>
      </w:r>
    </w:p>
    <w:bookmarkEnd w:id="1"/>
    <w:p w:rsidR="00744DE9" w:rsidRDefault="00646069" w:rsidP="00970051">
      <w:pPr>
        <w:pStyle w:val="ListeLinks"/>
        <w:rPr>
          <w:color w:val="000000" w:themeColor="text1"/>
        </w:rPr>
      </w:pPr>
      <w:r>
        <w:rPr>
          <w:rStyle w:val="Hyperlink"/>
        </w:rPr>
        <w:fldChar w:fldCharType="begin"/>
      </w:r>
      <w:r>
        <w:rPr>
          <w:rStyle w:val="Hyperlink"/>
        </w:rPr>
        <w:instrText xml:space="preserve"> HYPERLINK "https://www.washingtonpost.com/world/the_</w:instrText>
      </w:r>
      <w:r>
        <w:rPr>
          <w:rStyle w:val="Hyperlink"/>
        </w:rPr>
        <w:instrText xml:space="preserve">americas/once-underfed-brazils-poor-have-a-new-problem-obesity/2016/11/23/74c661fa-ab8e-11e6-8f19-21a1c65d2043_story.html" </w:instrText>
      </w:r>
      <w:r>
        <w:rPr>
          <w:rStyle w:val="Hyperlink"/>
        </w:rPr>
        <w:fldChar w:fldCharType="separate"/>
      </w:r>
      <w:r w:rsidR="00744DE9" w:rsidRPr="00FE4EB6">
        <w:rPr>
          <w:rStyle w:val="Hyperlink"/>
        </w:rPr>
        <w:t>https://www.washingtonpost.com/world/the_americas/once-underfed-brazils-poor-have-a-new-problem-obesity/2016/11/23/74c661fa-ab8e-11e6-8f19-21a1c65d2043_story.html</w:t>
      </w:r>
      <w:r>
        <w:rPr>
          <w:rStyle w:val="Hyperlink"/>
        </w:rPr>
        <w:fldChar w:fldCharType="end"/>
      </w:r>
    </w:p>
    <w:p w:rsidR="00744DE9" w:rsidRDefault="00646069" w:rsidP="00970051">
      <w:pPr>
        <w:pStyle w:val="ListeLinks"/>
        <w:rPr>
          <w:color w:val="000000" w:themeColor="text1"/>
        </w:rPr>
      </w:pPr>
      <w:hyperlink r:id="rId32" w:history="1">
        <w:r w:rsidR="00744DE9" w:rsidRPr="00FE4EB6">
          <w:rPr>
            <w:rStyle w:val="Hyperlink"/>
          </w:rPr>
          <w:t>https://journals.plos.org/plosone/article?id=10.1371/journal.pone.0224140</w:t>
        </w:r>
      </w:hyperlink>
    </w:p>
    <w:p w:rsidR="00744DE9" w:rsidRDefault="00646069" w:rsidP="00970051">
      <w:pPr>
        <w:pStyle w:val="ListeLinks"/>
        <w:rPr>
          <w:color w:val="000000" w:themeColor="text1"/>
        </w:rPr>
      </w:pPr>
      <w:hyperlink r:id="rId33" w:history="1">
        <w:r w:rsidR="00744DE9" w:rsidRPr="00FE4EB6">
          <w:rPr>
            <w:rStyle w:val="Hyperlink"/>
          </w:rPr>
          <w:t>https://www.handelsblatt.com/politik/international/weltgeschichten/busch/weltgeschichte-wie-junk-food-brasilien-verwandelt/20384222.html?ticket=ST-2984442-f0QOybubb2xQgbhXuyD9-ap1</w:t>
        </w:r>
      </w:hyperlink>
    </w:p>
    <w:p w:rsidR="00744DE9" w:rsidRDefault="00646069" w:rsidP="00970051">
      <w:pPr>
        <w:pStyle w:val="ListeLinks"/>
        <w:rPr>
          <w:color w:val="000000" w:themeColor="text1"/>
        </w:rPr>
      </w:pPr>
      <w:hyperlink r:id="rId34" w:history="1">
        <w:r w:rsidR="00744DE9" w:rsidRPr="00FE4EB6">
          <w:rPr>
            <w:rStyle w:val="Hyperlink"/>
          </w:rPr>
          <w:t>https://www.dandc.eu/de/article/gesuendere-ernaehrung-wuerde-brasilien-im-kampf-gegen-fettleibigkeit-helfen</w:t>
        </w:r>
      </w:hyperlink>
    </w:p>
    <w:p w:rsidR="00744DE9" w:rsidRDefault="00646069" w:rsidP="00970051">
      <w:pPr>
        <w:pStyle w:val="ListeLinks"/>
        <w:rPr>
          <w:color w:val="000000" w:themeColor="text1"/>
        </w:rPr>
      </w:pPr>
      <w:hyperlink r:id="rId35" w:history="1">
        <w:r w:rsidR="00744DE9" w:rsidRPr="00FE4EB6">
          <w:rPr>
            <w:rStyle w:val="Hyperlink"/>
          </w:rPr>
          <w:t>https://www.youtube.com/watch?v=E65CP4JAq2A</w:t>
        </w:r>
      </w:hyperlink>
    </w:p>
    <w:p w:rsidR="00744DE9" w:rsidRPr="00243366" w:rsidRDefault="009664B4" w:rsidP="00970051">
      <w:pPr>
        <w:pStyle w:val="Head2rot"/>
      </w:pPr>
      <w:r>
        <w:rPr>
          <w:noProof/>
          <w:lang w:eastAsia="de-DE"/>
        </w:rPr>
        <w:drawing>
          <wp:anchor distT="0" distB="0" distL="114300" distR="114300" simplePos="0" relativeHeight="251685888" behindDoc="0" locked="0" layoutInCell="1" allowOverlap="1">
            <wp:simplePos x="0" y="0"/>
            <wp:positionH relativeFrom="column">
              <wp:posOffset>4939715</wp:posOffset>
            </wp:positionH>
            <wp:positionV relativeFrom="paragraph">
              <wp:posOffset>149724</wp:posOffset>
            </wp:positionV>
            <wp:extent cx="1180800" cy="788400"/>
            <wp:effectExtent l="0" t="0" r="635" b="0"/>
            <wp:wrapSquare wrapText="bothSides"/>
            <wp:docPr id="23" name="Grafik 23" descr="Ein Bild, das Blum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ndien-fahne.png"/>
                    <pic:cNvPicPr/>
                  </pic:nvPicPr>
                  <pic:blipFill>
                    <a:blip r:embed="rId36">
                      <a:extLst>
                        <a:ext uri="{28A0092B-C50C-407E-A947-70E740481C1C}">
                          <a14:useLocalDpi xmlns:a14="http://schemas.microsoft.com/office/drawing/2010/main" val="0"/>
                        </a:ext>
                      </a:extLst>
                    </a:blip>
                    <a:stretch>
                      <a:fillRect/>
                    </a:stretch>
                  </pic:blipFill>
                  <pic:spPr>
                    <a:xfrm>
                      <a:off x="0" y="0"/>
                      <a:ext cx="1180800" cy="78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DE9" w:rsidRPr="00243366">
        <w:t xml:space="preserve">Links zur Ernährungslage in </w:t>
      </w:r>
      <w:r w:rsidR="00744DE9">
        <w:t>Indien</w:t>
      </w:r>
    </w:p>
    <w:p w:rsidR="00744DE9" w:rsidRDefault="00646069" w:rsidP="00970051">
      <w:pPr>
        <w:pStyle w:val="ListeLinks"/>
        <w:rPr>
          <w:color w:val="000000" w:themeColor="text1"/>
        </w:rPr>
      </w:pPr>
      <w:hyperlink r:id="rId37" w:history="1">
        <w:r w:rsidR="00744DE9" w:rsidRPr="00FE4EB6">
          <w:rPr>
            <w:rStyle w:val="Hyperlink"/>
          </w:rPr>
          <w:t>https://edition.cnn.com/interactive/2017/10/health/i-on-india-childhood-obesity/</w:t>
        </w:r>
      </w:hyperlink>
    </w:p>
    <w:p w:rsidR="00744DE9" w:rsidRDefault="00646069" w:rsidP="00970051">
      <w:pPr>
        <w:pStyle w:val="ListeLinks"/>
        <w:rPr>
          <w:color w:val="000000" w:themeColor="text1"/>
        </w:rPr>
      </w:pPr>
      <w:hyperlink r:id="rId38" w:history="1">
        <w:r w:rsidR="00744DE9" w:rsidRPr="00FE4EB6">
          <w:rPr>
            <w:rStyle w:val="Hyperlink"/>
          </w:rPr>
          <w:t>https://www.indiaspend.com/more-indian-girls-women-are-overweight-or-obese-most-of-them-rich-urban/</w:t>
        </w:r>
      </w:hyperlink>
    </w:p>
    <w:p w:rsidR="00744DE9" w:rsidRDefault="00646069" w:rsidP="00970051">
      <w:pPr>
        <w:pStyle w:val="ListeLinks"/>
        <w:rPr>
          <w:color w:val="000000" w:themeColor="text1"/>
        </w:rPr>
      </w:pPr>
      <w:hyperlink r:id="rId39" w:history="1">
        <w:r w:rsidR="00744DE9" w:rsidRPr="00FE4EB6">
          <w:rPr>
            <w:rStyle w:val="Hyperlink"/>
          </w:rPr>
          <w:t>https://www.thehindu.com/sci-tech/health/the-myth-behind-obesity-in-india/article28671583.ece</w:t>
        </w:r>
      </w:hyperlink>
    </w:p>
    <w:p w:rsidR="00744DE9" w:rsidRDefault="00646069" w:rsidP="00970051">
      <w:pPr>
        <w:pStyle w:val="ListeLinks"/>
        <w:rPr>
          <w:color w:val="000000" w:themeColor="text1"/>
        </w:rPr>
      </w:pPr>
      <w:hyperlink r:id="rId40" w:history="1">
        <w:r w:rsidR="00744DE9" w:rsidRPr="00FE4EB6">
          <w:rPr>
            <w:rStyle w:val="Hyperlink"/>
          </w:rPr>
          <w:t>https://economictimes.indiatimes.com/industry/healthcare/biotech/healthcare/view-indias-rising-obesity-problem/articleshow/77081281.cms?from=mdr</w:t>
        </w:r>
      </w:hyperlink>
    </w:p>
    <w:p w:rsidR="00744DE9" w:rsidRDefault="00646069" w:rsidP="00970051">
      <w:pPr>
        <w:pStyle w:val="ListeLinks"/>
        <w:rPr>
          <w:color w:val="000000" w:themeColor="text1"/>
        </w:rPr>
      </w:pPr>
      <w:hyperlink r:id="rId41" w:history="1">
        <w:r w:rsidR="00744DE9" w:rsidRPr="00FE4EB6">
          <w:rPr>
            <w:rStyle w:val="Hyperlink"/>
          </w:rPr>
          <w:t>https://www.spiegel.de/gesundheit/diagnose/indien-zwischen-den-welten-unterernaehrt-oder-zu-dick-a-1044427.html</w:t>
        </w:r>
      </w:hyperlink>
    </w:p>
    <w:p w:rsidR="00744DE9" w:rsidRDefault="00646069" w:rsidP="00970051">
      <w:pPr>
        <w:pStyle w:val="ListeLinks"/>
        <w:rPr>
          <w:color w:val="000000" w:themeColor="text1"/>
        </w:rPr>
      </w:pPr>
      <w:hyperlink r:id="rId42" w:history="1">
        <w:r w:rsidR="00744DE9" w:rsidRPr="00FE4EB6">
          <w:rPr>
            <w:rStyle w:val="Hyperlink"/>
          </w:rPr>
          <w:t>https://www.youtube.com/watch?v=IYYuyCt6P0E</w:t>
        </w:r>
      </w:hyperlink>
    </w:p>
    <w:p w:rsidR="00744DE9" w:rsidRDefault="00970051" w:rsidP="00970051">
      <w:pPr>
        <w:pStyle w:val="Head2rot"/>
      </w:pPr>
      <w:r>
        <w:rPr>
          <w:noProof/>
          <w:lang w:eastAsia="de-DE"/>
        </w:rPr>
        <w:drawing>
          <wp:anchor distT="0" distB="0" distL="114300" distR="114300" simplePos="0" relativeHeight="251686912" behindDoc="0" locked="0" layoutInCell="1" allowOverlap="1">
            <wp:simplePos x="0" y="0"/>
            <wp:positionH relativeFrom="column">
              <wp:posOffset>4886956</wp:posOffset>
            </wp:positionH>
            <wp:positionV relativeFrom="paragraph">
              <wp:posOffset>165371</wp:posOffset>
            </wp:positionV>
            <wp:extent cx="1234800" cy="820800"/>
            <wp:effectExtent l="0" t="0" r="3810" b="0"/>
            <wp:wrapSquare wrapText="bothSides"/>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48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DE9" w:rsidRPr="00243366">
        <w:t xml:space="preserve">Links zur Ernährungslage in </w:t>
      </w:r>
      <w:r w:rsidR="00744DE9">
        <w:t>Südafrika</w:t>
      </w:r>
    </w:p>
    <w:p w:rsidR="00744DE9" w:rsidRDefault="00646069" w:rsidP="00970051">
      <w:pPr>
        <w:pStyle w:val="ListeLinks"/>
        <w:rPr>
          <w:color w:val="000000" w:themeColor="text1"/>
        </w:rPr>
      </w:pPr>
      <w:hyperlink r:id="rId43" w:history="1">
        <w:r w:rsidR="00744DE9" w:rsidRPr="00FE4EB6">
          <w:rPr>
            <w:rStyle w:val="Hyperlink"/>
          </w:rPr>
          <w:t>https://businesstech.co.za/news/lifestyle/331389/heres-how-many-south-africans-are-overweight-according-to-discovery/</w:t>
        </w:r>
      </w:hyperlink>
    </w:p>
    <w:p w:rsidR="00744DE9" w:rsidRDefault="00646069" w:rsidP="00970051">
      <w:pPr>
        <w:pStyle w:val="ListeLinks"/>
        <w:rPr>
          <w:color w:val="000000" w:themeColor="text1"/>
        </w:rPr>
      </w:pPr>
      <w:hyperlink r:id="rId44" w:history="1">
        <w:r w:rsidR="009664B4" w:rsidRPr="00AE4E72">
          <w:rPr>
            <w:rStyle w:val="Hyperlink"/>
          </w:rPr>
          <w:t>https://www.dailymaverick.co.za/article/2019-09-19-obesity-crisis-threatens-south-africas-health-system/</w:t>
        </w:r>
      </w:hyperlink>
    </w:p>
    <w:p w:rsidR="00744DE9" w:rsidRDefault="00646069" w:rsidP="00970051">
      <w:pPr>
        <w:pStyle w:val="ListeLinks"/>
        <w:rPr>
          <w:color w:val="000000" w:themeColor="text1"/>
        </w:rPr>
      </w:pPr>
      <w:hyperlink r:id="rId45" w:history="1">
        <w:r w:rsidR="00744DE9" w:rsidRPr="00FE4EB6">
          <w:rPr>
            <w:rStyle w:val="Hyperlink"/>
          </w:rPr>
          <w:t>https://www.westerncape.gov.za/general-publication/obesity-your-waistline-killing-you</w:t>
        </w:r>
      </w:hyperlink>
    </w:p>
    <w:p w:rsidR="00744DE9" w:rsidRDefault="00646069" w:rsidP="00970051">
      <w:pPr>
        <w:pStyle w:val="ListeLinks"/>
        <w:rPr>
          <w:color w:val="000000" w:themeColor="text1"/>
        </w:rPr>
      </w:pPr>
      <w:hyperlink r:id="rId46" w:history="1">
        <w:r w:rsidR="00744DE9" w:rsidRPr="00FE4EB6">
          <w:rPr>
            <w:rStyle w:val="Hyperlink"/>
          </w:rPr>
          <w:t>https://www.dw.com/de/s%C3%BCdafrika-wenn-essen-krank-macht/g-47602122</w:t>
        </w:r>
      </w:hyperlink>
      <w:r w:rsidR="00744DE9">
        <w:rPr>
          <w:color w:val="000000" w:themeColor="text1"/>
        </w:rPr>
        <w:t xml:space="preserve"> </w:t>
      </w:r>
    </w:p>
    <w:p w:rsidR="00744DE9" w:rsidRPr="00BD4102" w:rsidRDefault="00646069" w:rsidP="00970051">
      <w:pPr>
        <w:pStyle w:val="ListeLinks"/>
        <w:rPr>
          <w:rStyle w:val="Hyperlink"/>
          <w:color w:val="000000" w:themeColor="text1"/>
        </w:rPr>
      </w:pPr>
      <w:hyperlink r:id="rId47" w:history="1">
        <w:r w:rsidR="00744DE9" w:rsidRPr="00FE4EB6">
          <w:rPr>
            <w:rStyle w:val="Hyperlink"/>
          </w:rPr>
          <w:t>https://www.youtube.com/results?search_query=south+africa+overweight</w:t>
        </w:r>
      </w:hyperlink>
    </w:p>
    <w:p w:rsidR="008E74FD" w:rsidRPr="009664B4" w:rsidRDefault="00646069" w:rsidP="00970051">
      <w:pPr>
        <w:pStyle w:val="ListeLinks"/>
        <w:rPr>
          <w:color w:val="000000" w:themeColor="text1"/>
        </w:rPr>
      </w:pPr>
      <w:hyperlink r:id="rId48" w:history="1">
        <w:r w:rsidR="00744DE9" w:rsidRPr="00A379A2">
          <w:rPr>
            <w:rStyle w:val="Hyperlink"/>
          </w:rPr>
          <w:t>www.welthaus.de/bildung/welternaehrung-neu-denken</w:t>
        </w:r>
      </w:hyperlink>
      <w:r w:rsidR="00744DE9" w:rsidRPr="00241B8E">
        <w:rPr>
          <w:rStyle w:val="Hyperlink"/>
          <w:u w:val="none"/>
        </w:rPr>
        <w:t xml:space="preserve"> </w:t>
      </w:r>
      <w:r w:rsidR="00744DE9" w:rsidRPr="00241B8E">
        <w:rPr>
          <w:rStyle w:val="Hyperlink"/>
          <w:color w:val="000000" w:themeColor="text1"/>
          <w:u w:val="none"/>
        </w:rPr>
        <w:t>(S-4)</w:t>
      </w:r>
    </w:p>
    <w:sectPr w:rsidR="008E74FD" w:rsidRPr="009664B4" w:rsidSect="00104AE8">
      <w:footerReference w:type="default" r:id="rId49"/>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646069">
    <w:pPr>
      <w:pStyle w:val="Fuzeile"/>
    </w:pPr>
    <w:r>
      <w:rPr>
        <w:noProof/>
      </w:rPr>
      <w:tab/>
    </w:r>
    <w:r w:rsidR="00FE4C9C">
      <w:fldChar w:fldCharType="begin"/>
    </w:r>
    <w:r w:rsidR="00FE4C9C">
      <w:instrText xml:space="preserve"> PAGE  \* ArabicDash  \* MERGEFORMAT </w:instrText>
    </w:r>
    <w:r w:rsidR="00FE4C9C">
      <w:fldChar w:fldCharType="separate"/>
    </w:r>
    <w:r>
      <w:rPr>
        <w:noProof/>
      </w:rPr>
      <w:t>- 12 -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104AE8" w:rsidRDefault="00104AE8" w:rsidP="00104AE8">
      <w:pPr>
        <w:pStyle w:val="Funotentext"/>
      </w:pPr>
      <w:r>
        <w:rPr>
          <w:rStyle w:val="Funotenzeichen"/>
        </w:rPr>
        <w:footnoteRef/>
      </w:r>
      <w:r>
        <w:t xml:space="preserve"> Zeilen 1 bis 4: </w:t>
      </w:r>
      <w:proofErr w:type="spellStart"/>
      <w:r>
        <w:t>Worldbank</w:t>
      </w:r>
      <w:proofErr w:type="spellEnd"/>
      <w:r>
        <w:t xml:space="preserve"> </w:t>
      </w:r>
      <w:proofErr w:type="spellStart"/>
      <w:r>
        <w:t>Poverty</w:t>
      </w:r>
      <w:proofErr w:type="spellEnd"/>
      <w:r>
        <w:t xml:space="preserve"> Home - Zugriff </w:t>
      </w:r>
      <w:proofErr w:type="spellStart"/>
      <w:r>
        <w:t>database</w:t>
      </w:r>
      <w:proofErr w:type="spellEnd"/>
      <w:r>
        <w:t xml:space="preserve"> April 2020.</w:t>
      </w:r>
    </w:p>
  </w:footnote>
  <w:footnote w:id="2">
    <w:p w:rsidR="00104AE8" w:rsidRDefault="00104AE8" w:rsidP="00104AE8">
      <w:pPr>
        <w:pStyle w:val="Funotentext"/>
      </w:pPr>
      <w:r>
        <w:rPr>
          <w:rStyle w:val="Funotenzeichen"/>
        </w:rPr>
        <w:footnoteRef/>
      </w:r>
      <w:r>
        <w:t xml:space="preserve"> Quelle: Welthungerindex 2019.</w:t>
      </w:r>
    </w:p>
  </w:footnote>
  <w:footnote w:id="3">
    <w:p w:rsidR="00104AE8" w:rsidRDefault="00104AE8" w:rsidP="00104AE8">
      <w:pPr>
        <w:pStyle w:val="Funotentext"/>
      </w:pPr>
      <w:r>
        <w:rPr>
          <w:rStyle w:val="Funotenzeichen"/>
        </w:rPr>
        <w:footnoteRef/>
      </w:r>
      <w:r>
        <w:t xml:space="preserve"> </w:t>
      </w:r>
      <w:proofErr w:type="spellStart"/>
      <w:r>
        <w:t>Statista</w:t>
      </w:r>
      <w:proofErr w:type="spellEnd"/>
      <w:r>
        <w:t xml:space="preserve">: </w:t>
      </w:r>
      <w:proofErr w:type="spellStart"/>
      <w:r>
        <w:t>Overweight</w:t>
      </w:r>
      <w:proofErr w:type="spellEnd"/>
      <w:r>
        <w:t xml:space="preserve"> </w:t>
      </w:r>
      <w:proofErr w:type="spellStart"/>
      <w:r>
        <w:t>prevalence</w:t>
      </w:r>
      <w:proofErr w:type="spellEnd"/>
      <w:r>
        <w:t xml:space="preserve"> in </w:t>
      </w:r>
      <w:proofErr w:type="spellStart"/>
      <w:r>
        <w:t>Brazil</w:t>
      </w:r>
      <w:proofErr w:type="spellEnd"/>
      <w:r>
        <w:t xml:space="preserve"> (2019). Zahl für 2018.</w:t>
      </w:r>
    </w:p>
  </w:footnote>
  <w:footnote w:id="4">
    <w:p w:rsidR="00104AE8" w:rsidRDefault="00104AE8" w:rsidP="00104AE8">
      <w:pPr>
        <w:pStyle w:val="Funotentext"/>
      </w:pPr>
      <w:r>
        <w:rPr>
          <w:rStyle w:val="Funotenzeichen"/>
        </w:rPr>
        <w:footnoteRef/>
      </w:r>
      <w:r>
        <w:t xml:space="preserve"> </w:t>
      </w:r>
      <w:proofErr w:type="spellStart"/>
      <w:r>
        <w:t>Statista</w:t>
      </w:r>
      <w:proofErr w:type="spellEnd"/>
      <w:r>
        <w:t xml:space="preserve">: </w:t>
      </w:r>
      <w:proofErr w:type="spellStart"/>
      <w:r>
        <w:t>Obesity</w:t>
      </w:r>
      <w:proofErr w:type="spellEnd"/>
      <w:r>
        <w:t xml:space="preserve"> </w:t>
      </w:r>
      <w:proofErr w:type="spellStart"/>
      <w:r>
        <w:t>prevalence</w:t>
      </w:r>
      <w:proofErr w:type="spellEnd"/>
      <w:r>
        <w:t xml:space="preserve"> in </w:t>
      </w:r>
      <w:proofErr w:type="spellStart"/>
      <w:r>
        <w:t>Brazil</w:t>
      </w:r>
      <w:proofErr w:type="spellEnd"/>
      <w:r>
        <w:t xml:space="preserve"> (2019). Zahl für 2018.</w:t>
      </w:r>
    </w:p>
  </w:footnote>
  <w:footnote w:id="5">
    <w:p w:rsidR="00104AE8" w:rsidRDefault="00104AE8" w:rsidP="00104AE8">
      <w:pPr>
        <w:pStyle w:val="Funotentext"/>
      </w:pPr>
      <w:r>
        <w:rPr>
          <w:rStyle w:val="Funotenzeichen"/>
        </w:rPr>
        <w:footnoteRef/>
      </w:r>
      <w:r>
        <w:t xml:space="preserve"> Neuere Zeitungsartikel legen nahe, dass seit 2018 sich dieser positive Trend leider wieder geändert hat.</w:t>
      </w:r>
    </w:p>
  </w:footnote>
  <w:footnote w:id="6">
    <w:p w:rsidR="00104AE8" w:rsidRDefault="00104AE8" w:rsidP="00104AE8">
      <w:pPr>
        <w:pStyle w:val="Funotentext"/>
      </w:pPr>
      <w:r>
        <w:rPr>
          <w:rStyle w:val="Funotenzeichen"/>
        </w:rPr>
        <w:footnoteRef/>
      </w:r>
      <w:r>
        <w:t xml:space="preserve"> Vgl. </w:t>
      </w:r>
      <w:proofErr w:type="spellStart"/>
      <w:r>
        <w:t>Prevalence</w:t>
      </w:r>
      <w:proofErr w:type="spellEnd"/>
      <w:r>
        <w:t xml:space="preserve"> </w:t>
      </w:r>
      <w:proofErr w:type="spellStart"/>
      <w:r>
        <w:t>of</w:t>
      </w:r>
      <w:proofErr w:type="spellEnd"/>
      <w:r>
        <w:t xml:space="preserve"> </w:t>
      </w:r>
      <w:proofErr w:type="spellStart"/>
      <w:r>
        <w:t>Obesity</w:t>
      </w:r>
      <w:proofErr w:type="spellEnd"/>
      <w:r>
        <w:t xml:space="preserve"> </w:t>
      </w:r>
      <w:proofErr w:type="spellStart"/>
      <w:r>
        <w:t>and</w:t>
      </w:r>
      <w:proofErr w:type="spellEnd"/>
      <w:r>
        <w:t xml:space="preserve"> </w:t>
      </w:r>
      <w:proofErr w:type="spellStart"/>
      <w:r>
        <w:t>Overweight</w:t>
      </w:r>
      <w:proofErr w:type="spellEnd"/>
      <w:r>
        <w:t xml:space="preserve"> in an </w:t>
      </w:r>
      <w:proofErr w:type="spellStart"/>
      <w:r>
        <w:t>Indigenous</w:t>
      </w:r>
      <w:proofErr w:type="spellEnd"/>
      <w:r>
        <w:t xml:space="preserve"> </w:t>
      </w:r>
      <w:proofErr w:type="spellStart"/>
      <w:r>
        <w:t>population</w:t>
      </w:r>
      <w:proofErr w:type="spellEnd"/>
      <w:r>
        <w:t xml:space="preserve"> in Central </w:t>
      </w:r>
      <w:proofErr w:type="spellStart"/>
      <w:r>
        <w:t>Brazil</w:t>
      </w:r>
      <w:proofErr w:type="spellEnd"/>
      <w:r>
        <w:t xml:space="preserve"> (2015).</w:t>
      </w:r>
    </w:p>
  </w:footnote>
  <w:footnote w:id="7">
    <w:p w:rsidR="00104AE8" w:rsidRPr="00113820" w:rsidRDefault="00104AE8" w:rsidP="00104AE8">
      <w:pPr>
        <w:pStyle w:val="Funotentext"/>
      </w:pPr>
      <w:r>
        <w:rPr>
          <w:rStyle w:val="Funotenzeichen"/>
        </w:rPr>
        <w:footnoteRef/>
      </w:r>
      <w:r>
        <w:t xml:space="preserve"> Vgl. </w:t>
      </w:r>
      <w:proofErr w:type="spellStart"/>
      <w:r w:rsidRPr="00113820">
        <w:t>Predictors</w:t>
      </w:r>
      <w:proofErr w:type="spellEnd"/>
      <w:r w:rsidRPr="00113820">
        <w:t xml:space="preserve"> </w:t>
      </w:r>
      <w:proofErr w:type="spellStart"/>
      <w:r w:rsidRPr="00113820">
        <w:t>of</w:t>
      </w:r>
      <w:proofErr w:type="spellEnd"/>
      <w:r w:rsidRPr="00113820">
        <w:t xml:space="preserve"> </w:t>
      </w:r>
      <w:proofErr w:type="spellStart"/>
      <w:r w:rsidRPr="00113820">
        <w:t>overweight</w:t>
      </w:r>
      <w:proofErr w:type="spellEnd"/>
      <w:r w:rsidRPr="00113820">
        <w:t>/</w:t>
      </w:r>
      <w:proofErr w:type="spellStart"/>
      <w:r w:rsidRPr="00113820">
        <w:t>obesity</w:t>
      </w:r>
      <w:proofErr w:type="spellEnd"/>
      <w:r w:rsidRPr="00113820">
        <w:t xml:space="preserve"> in a </w:t>
      </w:r>
      <w:proofErr w:type="spellStart"/>
      <w:r w:rsidRPr="00113820">
        <w:t>Brazilian</w:t>
      </w:r>
      <w:proofErr w:type="spellEnd"/>
      <w:r w:rsidRPr="00113820">
        <w:t xml:space="preserve"> </w:t>
      </w:r>
      <w:proofErr w:type="spellStart"/>
      <w:r w:rsidRPr="00113820">
        <w:t>cohort</w:t>
      </w:r>
      <w:proofErr w:type="spellEnd"/>
      <w:r w:rsidRPr="00113820">
        <w:t xml:space="preserve"> after 13 </w:t>
      </w:r>
      <w:proofErr w:type="spellStart"/>
      <w:r w:rsidRPr="00113820">
        <w:t>years</w:t>
      </w:r>
      <w:proofErr w:type="spellEnd"/>
      <w:r w:rsidRPr="00113820">
        <w:t xml:space="preserve"> </w:t>
      </w:r>
      <w:proofErr w:type="spellStart"/>
      <w:r w:rsidRPr="00113820">
        <w:t>of</w:t>
      </w:r>
      <w:proofErr w:type="spellEnd"/>
      <w:r w:rsidRPr="00113820">
        <w:t xml:space="preserve"> follow-</w:t>
      </w:r>
      <w:proofErr w:type="spellStart"/>
      <w:r w:rsidRPr="00113820">
        <w:t>up</w:t>
      </w:r>
      <w:proofErr w:type="spellEnd"/>
      <w:r w:rsidRPr="00113820">
        <w:t>. Nutrition Journ</w:t>
      </w:r>
      <w:r>
        <w:t>al 2018.</w:t>
      </w:r>
    </w:p>
  </w:footnote>
  <w:footnote w:id="8">
    <w:p w:rsidR="00104AE8" w:rsidRDefault="00104AE8" w:rsidP="00104AE8">
      <w:pPr>
        <w:pStyle w:val="Funotentext"/>
      </w:pPr>
      <w:r>
        <w:rPr>
          <w:rStyle w:val="Funotenzeichen"/>
        </w:rPr>
        <w:footnoteRef/>
      </w:r>
      <w:r>
        <w:t xml:space="preserve"> Stellvertretend für viele Statements: </w:t>
      </w:r>
      <w:proofErr w:type="spellStart"/>
      <w:r>
        <w:t>Niamh</w:t>
      </w:r>
      <w:proofErr w:type="spellEnd"/>
      <w:r>
        <w:t xml:space="preserve"> Michail – </w:t>
      </w:r>
      <w:proofErr w:type="spellStart"/>
      <w:r>
        <w:t>Obesity</w:t>
      </w:r>
      <w:proofErr w:type="spellEnd"/>
      <w:r>
        <w:t xml:space="preserve"> on </w:t>
      </w:r>
      <w:proofErr w:type="spellStart"/>
      <w:r>
        <w:t>the</w:t>
      </w:r>
      <w:proofErr w:type="spellEnd"/>
      <w:r>
        <w:t xml:space="preserve"> </w:t>
      </w:r>
      <w:proofErr w:type="spellStart"/>
      <w:r>
        <w:t>rise</w:t>
      </w:r>
      <w:proofErr w:type="spellEnd"/>
      <w:r>
        <w:t xml:space="preserve"> in </w:t>
      </w:r>
      <w:proofErr w:type="spellStart"/>
      <w:r>
        <w:t>Brazil</w:t>
      </w:r>
      <w:proofErr w:type="spellEnd"/>
      <w:r>
        <w:t xml:space="preserve"> (Food Navigator 14.8. 2019)</w:t>
      </w:r>
    </w:p>
  </w:footnote>
  <w:footnote w:id="9">
    <w:p w:rsidR="00104AE8" w:rsidRPr="003B3D7F" w:rsidRDefault="00104AE8" w:rsidP="00104AE8">
      <w:pPr>
        <w:rPr>
          <w:sz w:val="20"/>
          <w:szCs w:val="20"/>
        </w:rPr>
      </w:pPr>
      <w:r>
        <w:rPr>
          <w:rStyle w:val="Funotenzeichen"/>
        </w:rPr>
        <w:footnoteRef/>
      </w:r>
      <w:r>
        <w:t xml:space="preserve"> </w:t>
      </w:r>
      <w:r w:rsidRPr="003B3D7F">
        <w:rPr>
          <w:sz w:val="20"/>
          <w:szCs w:val="20"/>
        </w:rPr>
        <w:t xml:space="preserve">Ausführlich dazu C. Monteiro: The Impact </w:t>
      </w:r>
      <w:proofErr w:type="spellStart"/>
      <w:r w:rsidRPr="003B3D7F">
        <w:rPr>
          <w:sz w:val="20"/>
          <w:szCs w:val="20"/>
        </w:rPr>
        <w:t>of</w:t>
      </w:r>
      <w:proofErr w:type="spellEnd"/>
      <w:r w:rsidRPr="003B3D7F">
        <w:rPr>
          <w:sz w:val="20"/>
          <w:szCs w:val="20"/>
        </w:rPr>
        <w:t xml:space="preserve"> Traditional </w:t>
      </w:r>
      <w:r w:rsidR="00FE3E22">
        <w:rPr>
          <w:rFonts w:cs="Calibri"/>
          <w:sz w:val="20"/>
          <w:szCs w:val="20"/>
        </w:rPr>
        <w:t>“</w:t>
      </w:r>
      <w:r w:rsidRPr="003B3D7F">
        <w:rPr>
          <w:sz w:val="20"/>
          <w:szCs w:val="20"/>
        </w:rPr>
        <w:t>Big Food</w:t>
      </w:r>
      <w:r w:rsidR="00FE3E22">
        <w:rPr>
          <w:rFonts w:cs="Calibri"/>
          <w:sz w:val="20"/>
          <w:szCs w:val="20"/>
        </w:rPr>
        <w:t>ʺ</w:t>
      </w:r>
      <w:r w:rsidRPr="003B3D7F">
        <w:rPr>
          <w:sz w:val="20"/>
          <w:szCs w:val="20"/>
        </w:rPr>
        <w:t xml:space="preserve"> Companies on </w:t>
      </w:r>
      <w:proofErr w:type="spellStart"/>
      <w:r w:rsidRPr="003B3D7F">
        <w:rPr>
          <w:sz w:val="20"/>
          <w:szCs w:val="20"/>
        </w:rPr>
        <w:t>the</w:t>
      </w:r>
      <w:proofErr w:type="spellEnd"/>
      <w:r w:rsidRPr="003B3D7F">
        <w:rPr>
          <w:sz w:val="20"/>
          <w:szCs w:val="20"/>
        </w:rPr>
        <w:t xml:space="preserve"> South: A View </w:t>
      </w:r>
      <w:proofErr w:type="spellStart"/>
      <w:r w:rsidRPr="003B3D7F">
        <w:rPr>
          <w:sz w:val="20"/>
          <w:szCs w:val="20"/>
        </w:rPr>
        <w:t>from</w:t>
      </w:r>
      <w:proofErr w:type="spellEnd"/>
      <w:r w:rsidRPr="003B3D7F">
        <w:rPr>
          <w:sz w:val="20"/>
          <w:szCs w:val="20"/>
        </w:rPr>
        <w:t xml:space="preserve"> </w:t>
      </w:r>
      <w:proofErr w:type="spellStart"/>
      <w:r w:rsidRPr="003B3D7F">
        <w:rPr>
          <w:sz w:val="20"/>
          <w:szCs w:val="20"/>
        </w:rPr>
        <w:t>Brazil</w:t>
      </w:r>
      <w:proofErr w:type="spellEnd"/>
      <w:r w:rsidRPr="003B3D7F">
        <w:rPr>
          <w:sz w:val="20"/>
          <w:szCs w:val="20"/>
        </w:rPr>
        <w:t xml:space="preserve"> (2012).</w:t>
      </w:r>
    </w:p>
  </w:footnote>
  <w:footnote w:id="10">
    <w:p w:rsidR="00FE3E22" w:rsidRPr="00E33869" w:rsidRDefault="00FE3E22" w:rsidP="00FE3E22">
      <w:pPr>
        <w:rPr>
          <w:sz w:val="20"/>
          <w:szCs w:val="20"/>
        </w:rPr>
      </w:pPr>
      <w:r>
        <w:rPr>
          <w:rStyle w:val="Funotenzeichen"/>
        </w:rPr>
        <w:footnoteRef/>
      </w:r>
      <w:r>
        <w:t xml:space="preserve"> </w:t>
      </w:r>
      <w:r>
        <w:rPr>
          <w:sz w:val="20"/>
          <w:szCs w:val="20"/>
        </w:rPr>
        <w:t xml:space="preserve">Siehe dazu: </w:t>
      </w:r>
      <w:proofErr w:type="spellStart"/>
      <w:r w:rsidRPr="00E33869">
        <w:rPr>
          <w:sz w:val="20"/>
          <w:szCs w:val="20"/>
        </w:rPr>
        <w:t>Brazil’s</w:t>
      </w:r>
      <w:proofErr w:type="spellEnd"/>
      <w:r w:rsidRPr="00E33869">
        <w:rPr>
          <w:sz w:val="20"/>
          <w:szCs w:val="20"/>
        </w:rPr>
        <w:t xml:space="preserve"> </w:t>
      </w:r>
      <w:proofErr w:type="spellStart"/>
      <w:r w:rsidRPr="00E33869">
        <w:rPr>
          <w:sz w:val="20"/>
          <w:szCs w:val="20"/>
        </w:rPr>
        <w:t>Commitments</w:t>
      </w:r>
      <w:proofErr w:type="spellEnd"/>
      <w:r w:rsidRPr="00E33869">
        <w:rPr>
          <w:sz w:val="20"/>
          <w:szCs w:val="20"/>
        </w:rPr>
        <w:t xml:space="preserve"> </w:t>
      </w:r>
      <w:proofErr w:type="spellStart"/>
      <w:r w:rsidRPr="00E33869">
        <w:rPr>
          <w:sz w:val="20"/>
          <w:szCs w:val="20"/>
        </w:rPr>
        <w:t>to</w:t>
      </w:r>
      <w:proofErr w:type="spellEnd"/>
      <w:r w:rsidRPr="00E33869">
        <w:rPr>
          <w:sz w:val="20"/>
          <w:szCs w:val="20"/>
        </w:rPr>
        <w:t xml:space="preserve"> </w:t>
      </w:r>
      <w:proofErr w:type="spellStart"/>
      <w:r w:rsidRPr="00E33869">
        <w:rPr>
          <w:sz w:val="20"/>
          <w:szCs w:val="20"/>
        </w:rPr>
        <w:t>the</w:t>
      </w:r>
      <w:proofErr w:type="spellEnd"/>
      <w:r w:rsidRPr="00E33869">
        <w:rPr>
          <w:sz w:val="20"/>
          <w:szCs w:val="20"/>
        </w:rPr>
        <w:t xml:space="preserve"> United </w:t>
      </w:r>
      <w:proofErr w:type="spellStart"/>
      <w:r w:rsidRPr="00E33869">
        <w:rPr>
          <w:sz w:val="20"/>
          <w:szCs w:val="20"/>
        </w:rPr>
        <w:t>Nations</w:t>
      </w:r>
      <w:proofErr w:type="spellEnd"/>
      <w:r w:rsidRPr="00E33869">
        <w:rPr>
          <w:sz w:val="20"/>
          <w:szCs w:val="20"/>
        </w:rPr>
        <w:t xml:space="preserve"> </w:t>
      </w:r>
      <w:proofErr w:type="spellStart"/>
      <w:r w:rsidRPr="00E33869">
        <w:rPr>
          <w:sz w:val="20"/>
          <w:szCs w:val="20"/>
        </w:rPr>
        <w:t>Decade</w:t>
      </w:r>
      <w:proofErr w:type="spellEnd"/>
      <w:r w:rsidRPr="00E33869">
        <w:rPr>
          <w:sz w:val="20"/>
          <w:szCs w:val="20"/>
        </w:rPr>
        <w:t xml:space="preserve"> </w:t>
      </w:r>
      <w:proofErr w:type="spellStart"/>
      <w:r w:rsidRPr="00E33869">
        <w:rPr>
          <w:sz w:val="20"/>
          <w:szCs w:val="20"/>
        </w:rPr>
        <w:t>of</w:t>
      </w:r>
      <w:proofErr w:type="spellEnd"/>
      <w:r w:rsidRPr="00E33869">
        <w:rPr>
          <w:sz w:val="20"/>
          <w:szCs w:val="20"/>
        </w:rPr>
        <w:t xml:space="preserve"> Action on Nutrition (2016</w:t>
      </w:r>
      <w:r>
        <w:rPr>
          <w:rFonts w:cs="Calibri"/>
          <w:sz w:val="20"/>
          <w:szCs w:val="20"/>
        </w:rPr>
        <w:t>–</w:t>
      </w:r>
      <w:r w:rsidRPr="00E33869">
        <w:rPr>
          <w:sz w:val="20"/>
          <w:szCs w:val="20"/>
        </w:rPr>
        <w:t>2025)</w:t>
      </w:r>
      <w:r>
        <w:rPr>
          <w:sz w:val="20"/>
          <w:szCs w:val="20"/>
        </w:rPr>
        <w:t>.</w:t>
      </w:r>
    </w:p>
  </w:footnote>
  <w:footnote w:id="11">
    <w:p w:rsidR="00F65B78" w:rsidRDefault="00F65B78" w:rsidP="00F65B78">
      <w:pPr>
        <w:pStyle w:val="Funotentext"/>
      </w:pPr>
      <w:r>
        <w:rPr>
          <w:rStyle w:val="Funotenzeichen"/>
        </w:rPr>
        <w:footnoteRef/>
      </w:r>
      <w:r>
        <w:t xml:space="preserve"> Zeilen 1 bis 4: </w:t>
      </w:r>
      <w:proofErr w:type="spellStart"/>
      <w:r>
        <w:t>Worldbank</w:t>
      </w:r>
      <w:proofErr w:type="spellEnd"/>
      <w:r>
        <w:t xml:space="preserve"> </w:t>
      </w:r>
      <w:proofErr w:type="spellStart"/>
      <w:r>
        <w:t>Poverty</w:t>
      </w:r>
      <w:proofErr w:type="spellEnd"/>
      <w:r>
        <w:t xml:space="preserve"> Home </w:t>
      </w:r>
      <w:r w:rsidR="006D45A4">
        <w:rPr>
          <w:rFonts w:cs="Calibri"/>
        </w:rPr>
        <w:t>–</w:t>
      </w:r>
      <w:r>
        <w:t xml:space="preserve"> Zugriff </w:t>
      </w:r>
      <w:proofErr w:type="spellStart"/>
      <w:r>
        <w:t>database</w:t>
      </w:r>
      <w:proofErr w:type="spellEnd"/>
      <w:r>
        <w:t xml:space="preserve"> April 2020.</w:t>
      </w:r>
    </w:p>
  </w:footnote>
  <w:footnote w:id="12">
    <w:p w:rsidR="00F65B78" w:rsidRDefault="00F65B78" w:rsidP="00F65B78">
      <w:pPr>
        <w:pStyle w:val="Funotentext"/>
      </w:pPr>
      <w:r>
        <w:rPr>
          <w:rStyle w:val="Funotenzeichen"/>
        </w:rPr>
        <w:footnoteRef/>
      </w:r>
      <w:r>
        <w:t xml:space="preserve"> </w:t>
      </w:r>
      <w:proofErr w:type="spellStart"/>
      <w:r>
        <w:t>India</w:t>
      </w:r>
      <w:proofErr w:type="spellEnd"/>
      <w:r>
        <w:t xml:space="preserve">: National Family </w:t>
      </w:r>
      <w:proofErr w:type="spellStart"/>
      <w:r>
        <w:t>Health</w:t>
      </w:r>
      <w:proofErr w:type="spellEnd"/>
      <w:r>
        <w:t xml:space="preserve"> Survey 2015/2016.</w:t>
      </w:r>
    </w:p>
  </w:footnote>
  <w:footnote w:id="13">
    <w:p w:rsidR="00F65B78" w:rsidRDefault="00F65B78" w:rsidP="00F65B78">
      <w:pPr>
        <w:pStyle w:val="Funotentext"/>
      </w:pPr>
      <w:r>
        <w:rPr>
          <w:rStyle w:val="Funotenzeichen"/>
        </w:rPr>
        <w:footnoteRef/>
      </w:r>
      <w:r>
        <w:t xml:space="preserve"> Alle anderen Zahlen aus FAO: </w:t>
      </w:r>
      <w:proofErr w:type="spellStart"/>
      <w:r>
        <w:t>SOFI</w:t>
      </w:r>
      <w:proofErr w:type="spellEnd"/>
      <w:r>
        <w:t xml:space="preserve"> 2019.</w:t>
      </w:r>
    </w:p>
  </w:footnote>
  <w:footnote w:id="14">
    <w:p w:rsidR="00F65B78" w:rsidRDefault="00F65B78" w:rsidP="00F65B78">
      <w:pPr>
        <w:pStyle w:val="Funotentext"/>
      </w:pPr>
      <w:r>
        <w:rPr>
          <w:rStyle w:val="Funotenzeichen"/>
        </w:rPr>
        <w:footnoteRef/>
      </w:r>
      <w:r>
        <w:t xml:space="preserve"> Siehe </w:t>
      </w:r>
      <w:hyperlink r:id="rId1" w:history="1">
        <w:r w:rsidRPr="00782597">
          <w:rPr>
            <w:rStyle w:val="Hyperlink"/>
          </w:rPr>
          <w:t>https://www.intechopen.com/online-first/obesity-in-school-children-in-india</w:t>
        </w:r>
      </w:hyperlink>
      <w:r>
        <w:t xml:space="preserve"> </w:t>
      </w:r>
    </w:p>
  </w:footnote>
  <w:footnote w:id="15">
    <w:p w:rsidR="00F65B78" w:rsidRDefault="00F65B78" w:rsidP="00F65B78">
      <w:pPr>
        <w:pStyle w:val="Funotentext"/>
      </w:pPr>
      <w:r>
        <w:rPr>
          <w:rStyle w:val="Funotenzeichen"/>
        </w:rPr>
        <w:footnoteRef/>
      </w:r>
      <w:r>
        <w:t xml:space="preserve"> </w:t>
      </w:r>
      <w:hyperlink r:id="rId2" w:history="1">
        <w:r w:rsidRPr="00646069">
          <w:rPr>
            <w:rStyle w:val="Hyperlink"/>
          </w:rPr>
          <w:t>https://www.mdpi.com/2072-6643/11/8/1899/htm</w:t>
        </w:r>
      </w:hyperlink>
    </w:p>
  </w:footnote>
  <w:footnote w:id="16">
    <w:p w:rsidR="00F65B78" w:rsidRDefault="00F65B78" w:rsidP="00F65B78">
      <w:pPr>
        <w:pStyle w:val="Funotentext"/>
      </w:pPr>
      <w:r>
        <w:rPr>
          <w:rStyle w:val="Funotenzeichen"/>
        </w:rPr>
        <w:footnoteRef/>
      </w:r>
      <w:r>
        <w:t xml:space="preserve"> Ausführlich dazu: </w:t>
      </w:r>
      <w:hyperlink r:id="rId3" w:history="1">
        <w:r w:rsidRPr="000356A1">
          <w:rPr>
            <w:rStyle w:val="Hyperlink"/>
          </w:rPr>
          <w:t>https://www.intechopen.com/online-first/obesity-in-school-children-in-india</w:t>
        </w:r>
      </w:hyperlink>
      <w:r>
        <w:t xml:space="preserve"> </w:t>
      </w:r>
    </w:p>
  </w:footnote>
  <w:footnote w:id="17">
    <w:p w:rsidR="00F65B78" w:rsidRDefault="00F65B78" w:rsidP="00F65B78">
      <w:pPr>
        <w:pStyle w:val="Funotentext"/>
      </w:pPr>
      <w:r>
        <w:rPr>
          <w:rStyle w:val="Funotenzeichen"/>
        </w:rPr>
        <w:footnoteRef/>
      </w:r>
      <w:r>
        <w:t xml:space="preserve"> Siehe Anmerkung 6.</w:t>
      </w:r>
    </w:p>
  </w:footnote>
  <w:footnote w:id="18">
    <w:p w:rsidR="00F65B78" w:rsidRPr="00646069" w:rsidRDefault="00F65B78" w:rsidP="00F65B78">
      <w:pPr>
        <w:rPr>
          <w:sz w:val="20"/>
          <w:szCs w:val="20"/>
          <w:lang w:val="en-ZA"/>
        </w:rPr>
      </w:pPr>
      <w:r>
        <w:rPr>
          <w:rStyle w:val="Funotenzeichen"/>
        </w:rPr>
        <w:footnoteRef/>
      </w:r>
      <w:r>
        <w:t xml:space="preserve"> </w:t>
      </w:r>
      <w:r w:rsidRPr="00AF30F6">
        <w:rPr>
          <w:sz w:val="20"/>
          <w:szCs w:val="20"/>
        </w:rPr>
        <w:t xml:space="preserve">Angeblich haben diese Steuererhöhungen aber nicht zu einer Preiserhöhung der Produkte geführt. </w:t>
      </w:r>
      <w:r w:rsidRPr="00646069">
        <w:rPr>
          <w:sz w:val="20"/>
          <w:szCs w:val="20"/>
          <w:lang w:val="en-ZA"/>
        </w:rPr>
        <w:t>Vgl. hi</w:t>
      </w:r>
      <w:r w:rsidR="00646069" w:rsidRPr="00646069">
        <w:rPr>
          <w:sz w:val="20"/>
          <w:szCs w:val="20"/>
          <w:lang w:val="en-ZA"/>
        </w:rPr>
        <w:t xml:space="preserve">erzu Meera Shekar/Barry Popkin </w:t>
      </w:r>
      <w:r w:rsidRPr="00646069">
        <w:rPr>
          <w:sz w:val="20"/>
          <w:szCs w:val="20"/>
          <w:lang w:val="en-ZA"/>
        </w:rPr>
        <w:t>(Ed.); Obesity – Health and Economic Consequ</w:t>
      </w:r>
      <w:r w:rsidR="00EA270F" w:rsidRPr="00646069">
        <w:rPr>
          <w:sz w:val="20"/>
          <w:szCs w:val="20"/>
          <w:lang w:val="en-ZA"/>
        </w:rPr>
        <w:t>e</w:t>
      </w:r>
      <w:r w:rsidRPr="00646069">
        <w:rPr>
          <w:sz w:val="20"/>
          <w:szCs w:val="20"/>
          <w:lang w:val="en-ZA"/>
        </w:rPr>
        <w:t>nces of an Impending Global Challenge, 2020.</w:t>
      </w:r>
    </w:p>
  </w:footnote>
  <w:footnote w:id="19">
    <w:p w:rsidR="00F65B78" w:rsidRPr="00FB060E" w:rsidRDefault="00F65B78" w:rsidP="00F65B78">
      <w:pPr>
        <w:rPr>
          <w:sz w:val="20"/>
          <w:szCs w:val="20"/>
        </w:rPr>
      </w:pPr>
      <w:r>
        <w:rPr>
          <w:rStyle w:val="Funotenzeichen"/>
        </w:rPr>
        <w:footnoteRef/>
      </w:r>
      <w:r>
        <w:t xml:space="preserve"> </w:t>
      </w:r>
      <w:hyperlink r:id="rId4" w:history="1">
        <w:r w:rsidRPr="00FB060E">
          <w:rPr>
            <w:rStyle w:val="Hyperlink"/>
            <w:sz w:val="20"/>
            <w:szCs w:val="20"/>
          </w:rPr>
          <w:t>https://www.crazymasalafood.com/top-20-food-companies-india/</w:t>
        </w:r>
      </w:hyperlink>
    </w:p>
  </w:footnote>
  <w:footnote w:id="20">
    <w:p w:rsidR="00F65B78" w:rsidRDefault="00F65B78" w:rsidP="00F65B78">
      <w:pPr>
        <w:pStyle w:val="Funotentext"/>
      </w:pPr>
      <w:r>
        <w:rPr>
          <w:rStyle w:val="Funotenzeichen"/>
        </w:rPr>
        <w:footnoteRef/>
      </w:r>
      <w:r>
        <w:t xml:space="preserve"> </w:t>
      </w:r>
      <w:proofErr w:type="spellStart"/>
      <w:r>
        <w:t>Nidhi</w:t>
      </w:r>
      <w:proofErr w:type="spellEnd"/>
      <w:r>
        <w:t xml:space="preserve"> Sharma: </w:t>
      </w:r>
      <w:proofErr w:type="spellStart"/>
      <w:r>
        <w:t>Centre</w:t>
      </w:r>
      <w:proofErr w:type="spellEnd"/>
      <w:r>
        <w:t xml:space="preserve"> </w:t>
      </w:r>
      <w:proofErr w:type="spellStart"/>
      <w:r>
        <w:t>bans</w:t>
      </w:r>
      <w:proofErr w:type="spellEnd"/>
      <w:r>
        <w:t xml:space="preserve"> </w:t>
      </w:r>
      <w:proofErr w:type="spellStart"/>
      <w:r>
        <w:t>junk</w:t>
      </w:r>
      <w:proofErr w:type="spellEnd"/>
      <w:r>
        <w:t xml:space="preserve"> </w:t>
      </w:r>
      <w:proofErr w:type="spellStart"/>
      <w:r>
        <w:t>food</w:t>
      </w:r>
      <w:proofErr w:type="spellEnd"/>
      <w:r>
        <w:t xml:space="preserve"> in </w:t>
      </w:r>
      <w:proofErr w:type="spellStart"/>
      <w:r>
        <w:t>school</w:t>
      </w:r>
      <w:proofErr w:type="spellEnd"/>
      <w:r>
        <w:t xml:space="preserve"> </w:t>
      </w:r>
      <w:proofErr w:type="spellStart"/>
      <w:r>
        <w:t>canteens</w:t>
      </w:r>
      <w:proofErr w:type="spellEnd"/>
      <w:r>
        <w:t>, Nov. 2019.</w:t>
      </w:r>
    </w:p>
  </w:footnote>
  <w:footnote w:id="21">
    <w:p w:rsidR="00744DE9" w:rsidRDefault="00744DE9" w:rsidP="00744DE9">
      <w:pPr>
        <w:pStyle w:val="Funotentext"/>
      </w:pPr>
      <w:r>
        <w:rPr>
          <w:rStyle w:val="Funotenzeichen"/>
        </w:rPr>
        <w:footnoteRef/>
      </w:r>
      <w:r>
        <w:t xml:space="preserve"> Zeilen 1 bis 4: </w:t>
      </w:r>
      <w:proofErr w:type="spellStart"/>
      <w:r>
        <w:t>Worldbank</w:t>
      </w:r>
      <w:proofErr w:type="spellEnd"/>
      <w:r>
        <w:t xml:space="preserve"> </w:t>
      </w:r>
      <w:proofErr w:type="spellStart"/>
      <w:r>
        <w:t>Poverty</w:t>
      </w:r>
      <w:proofErr w:type="spellEnd"/>
      <w:r>
        <w:t xml:space="preserve"> Home </w:t>
      </w:r>
      <w:r w:rsidR="00926DA4">
        <w:rPr>
          <w:rFonts w:cs="Calibri"/>
        </w:rPr>
        <w:t>–</w:t>
      </w:r>
      <w:r>
        <w:t xml:space="preserve"> Zugriff </w:t>
      </w:r>
      <w:proofErr w:type="spellStart"/>
      <w:r>
        <w:t>database</w:t>
      </w:r>
      <w:proofErr w:type="spellEnd"/>
      <w:r>
        <w:t xml:space="preserve"> April 2020.</w:t>
      </w:r>
    </w:p>
  </w:footnote>
  <w:footnote w:id="22">
    <w:p w:rsidR="00744DE9" w:rsidRDefault="00744DE9" w:rsidP="00744DE9">
      <w:pPr>
        <w:pStyle w:val="Funotentext"/>
      </w:pPr>
      <w:r>
        <w:rPr>
          <w:rStyle w:val="Funotenzeichen"/>
        </w:rPr>
        <w:footnoteRef/>
      </w:r>
      <w:r>
        <w:t xml:space="preserve"> Alle Zahlen aus FAO: </w:t>
      </w:r>
      <w:proofErr w:type="spellStart"/>
      <w:r>
        <w:t>SOFI</w:t>
      </w:r>
      <w:proofErr w:type="spellEnd"/>
      <w:r>
        <w:t xml:space="preserve"> 2019.</w:t>
      </w:r>
    </w:p>
  </w:footnote>
  <w:footnote w:id="23">
    <w:p w:rsidR="00744DE9" w:rsidRDefault="00744DE9" w:rsidP="00744DE9">
      <w:pPr>
        <w:pStyle w:val="Funotentext"/>
      </w:pPr>
      <w:r>
        <w:rPr>
          <w:rStyle w:val="Funotenzeichen"/>
        </w:rPr>
        <w:footnoteRef/>
      </w:r>
      <w:r>
        <w:t xml:space="preserve"> Vgl. L. Pere</w:t>
      </w:r>
      <w:r w:rsidR="00926DA4">
        <w:t xml:space="preserve">ira: The Future </w:t>
      </w:r>
      <w:proofErr w:type="spellStart"/>
      <w:r w:rsidR="00926DA4">
        <w:t>of</w:t>
      </w:r>
      <w:proofErr w:type="spellEnd"/>
      <w:r w:rsidR="00926DA4">
        <w:t xml:space="preserve"> South </w:t>
      </w:r>
      <w:proofErr w:type="spellStart"/>
      <w:r w:rsidR="00926DA4">
        <w:t>Africa</w:t>
      </w:r>
      <w:r w:rsidR="00926DA4">
        <w:rPr>
          <w:rFonts w:cs="Calibri"/>
        </w:rPr>
        <w:t>’</w:t>
      </w:r>
      <w:r>
        <w:t>s</w:t>
      </w:r>
      <w:proofErr w:type="spellEnd"/>
      <w:r>
        <w:t xml:space="preserve"> Food Syst</w:t>
      </w:r>
      <w:r w:rsidR="00926DA4">
        <w:t>em …,</w:t>
      </w:r>
      <w:r>
        <w:t xml:space="preserve"> 2014.</w:t>
      </w:r>
    </w:p>
  </w:footnote>
  <w:footnote w:id="24">
    <w:p w:rsidR="00744DE9" w:rsidRDefault="00744DE9" w:rsidP="00744DE9">
      <w:pPr>
        <w:pStyle w:val="Funotentext"/>
      </w:pPr>
      <w:r>
        <w:rPr>
          <w:rStyle w:val="Funotenzeichen"/>
        </w:rPr>
        <w:footnoteRef/>
      </w:r>
      <w:r>
        <w:t xml:space="preserve"> </w:t>
      </w:r>
      <w:r w:rsidR="00646069">
        <w:t xml:space="preserve">Siehe </w:t>
      </w:r>
      <w:r w:rsidR="00646069" w:rsidRPr="00646069">
        <w:rPr>
          <w:rStyle w:val="Material-Nr"/>
        </w:rPr>
        <w:t>S-4</w:t>
      </w:r>
      <w:r w:rsidR="00646069">
        <w:t xml:space="preserve"> </w:t>
      </w:r>
      <w:r>
        <w:t xml:space="preserve">Diana Haag: Big Food in Südafrika. </w:t>
      </w:r>
      <w:r w:rsidR="00926DA4">
        <w:t>Studie, Johannesbu</w:t>
      </w:r>
      <w:r>
        <w:t>rg 2020.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6"/>
  </w:num>
  <w:num w:numId="13">
    <w:abstractNumId w:val="10"/>
  </w:num>
  <w:num w:numId="14">
    <w:abstractNumId w:val="13"/>
  </w:num>
  <w:num w:numId="15">
    <w:abstractNumId w:val="11"/>
  </w:num>
  <w:num w:numId="16">
    <w:abstractNumId w:val="14"/>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5381C"/>
    <w:rsid w:val="000552C3"/>
    <w:rsid w:val="0007634F"/>
    <w:rsid w:val="000F2AF5"/>
    <w:rsid w:val="000F40E4"/>
    <w:rsid w:val="00104AE8"/>
    <w:rsid w:val="00106E8D"/>
    <w:rsid w:val="00131F16"/>
    <w:rsid w:val="00140F45"/>
    <w:rsid w:val="00164859"/>
    <w:rsid w:val="00173248"/>
    <w:rsid w:val="00194288"/>
    <w:rsid w:val="001A629E"/>
    <w:rsid w:val="001B78FC"/>
    <w:rsid w:val="001E64F6"/>
    <w:rsid w:val="00241B8E"/>
    <w:rsid w:val="00270876"/>
    <w:rsid w:val="002976F9"/>
    <w:rsid w:val="002A4FA3"/>
    <w:rsid w:val="002D329F"/>
    <w:rsid w:val="002F0429"/>
    <w:rsid w:val="00313125"/>
    <w:rsid w:val="003862BC"/>
    <w:rsid w:val="003A2BEF"/>
    <w:rsid w:val="00411491"/>
    <w:rsid w:val="00494DFD"/>
    <w:rsid w:val="004B5030"/>
    <w:rsid w:val="004D026E"/>
    <w:rsid w:val="005047B2"/>
    <w:rsid w:val="00520C4B"/>
    <w:rsid w:val="005440CF"/>
    <w:rsid w:val="0055329C"/>
    <w:rsid w:val="00567FC3"/>
    <w:rsid w:val="005E0E83"/>
    <w:rsid w:val="00615863"/>
    <w:rsid w:val="00641717"/>
    <w:rsid w:val="006431A6"/>
    <w:rsid w:val="00645B28"/>
    <w:rsid w:val="00646069"/>
    <w:rsid w:val="006639B8"/>
    <w:rsid w:val="0067244F"/>
    <w:rsid w:val="006D45A4"/>
    <w:rsid w:val="00744DE9"/>
    <w:rsid w:val="007A1550"/>
    <w:rsid w:val="007E6565"/>
    <w:rsid w:val="007E78B2"/>
    <w:rsid w:val="0084238C"/>
    <w:rsid w:val="0086350F"/>
    <w:rsid w:val="008911F6"/>
    <w:rsid w:val="008C793F"/>
    <w:rsid w:val="008E74FD"/>
    <w:rsid w:val="00926DA4"/>
    <w:rsid w:val="009664B4"/>
    <w:rsid w:val="00970051"/>
    <w:rsid w:val="00972AAA"/>
    <w:rsid w:val="009E7E67"/>
    <w:rsid w:val="00A34FD0"/>
    <w:rsid w:val="00A357C1"/>
    <w:rsid w:val="00A43AB9"/>
    <w:rsid w:val="00A53E41"/>
    <w:rsid w:val="00AB22F5"/>
    <w:rsid w:val="00AD735F"/>
    <w:rsid w:val="00B11D6D"/>
    <w:rsid w:val="00BD17F2"/>
    <w:rsid w:val="00BD63C7"/>
    <w:rsid w:val="00BF0D99"/>
    <w:rsid w:val="00BF2140"/>
    <w:rsid w:val="00BF5221"/>
    <w:rsid w:val="00BF5A06"/>
    <w:rsid w:val="00C11E37"/>
    <w:rsid w:val="00C54B4B"/>
    <w:rsid w:val="00C5520C"/>
    <w:rsid w:val="00C90BDA"/>
    <w:rsid w:val="00CA23BD"/>
    <w:rsid w:val="00CE413C"/>
    <w:rsid w:val="00CF4DA0"/>
    <w:rsid w:val="00D01297"/>
    <w:rsid w:val="00D7534A"/>
    <w:rsid w:val="00DB7BAE"/>
    <w:rsid w:val="00DD4EA0"/>
    <w:rsid w:val="00E75752"/>
    <w:rsid w:val="00E941A7"/>
    <w:rsid w:val="00EA270F"/>
    <w:rsid w:val="00F337BA"/>
    <w:rsid w:val="00F609E1"/>
    <w:rsid w:val="00F65B78"/>
    <w:rsid w:val="00F65EAC"/>
    <w:rsid w:val="00F84D69"/>
    <w:rsid w:val="00FC6BA9"/>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5440CF"/>
    <w:pPr>
      <w:spacing w:before="120"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7E78B2"/>
    <w:pPr>
      <w:spacing w:after="480"/>
      <w:jc w:val="center"/>
    </w:pPr>
    <w:rPr>
      <w:b/>
      <w:bCs/>
      <w:color w:val="C00000"/>
      <w:sz w:val="36"/>
      <w:szCs w:val="36"/>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7E78B2"/>
    <w:rPr>
      <w:rFonts w:ascii="Calibri" w:eastAsiaTheme="minorHAnsi" w:hAnsi="Calibri"/>
      <w:b/>
      <w:bCs/>
      <w:color w:val="C00000"/>
      <w:sz w:val="36"/>
      <w:szCs w:val="36"/>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thehindu.com/sci-tech/health/the-myth-behind-obesity-in-india/article28671583.ece" TargetMode="External"/><Relationship Id="rId21" Type="http://schemas.openxmlformats.org/officeDocument/2006/relationships/hyperlink" Target="http://www.welthaus.de/bildung/welternaehrung-neu-denken/" TargetMode="External"/><Relationship Id="rId34" Type="http://schemas.openxmlformats.org/officeDocument/2006/relationships/hyperlink" Target="https://www.dandc.eu/de/article/gesuendere-ernaehrung-wuerde-brasilien-im-kampf-gegen-fettleibigkeit-helfen" TargetMode="External"/><Relationship Id="rId42" Type="http://schemas.openxmlformats.org/officeDocument/2006/relationships/hyperlink" Target="https://www.youtube.com/watch?v=IYYuyCt6P0E" TargetMode="External"/><Relationship Id="rId47" Type="http://schemas.openxmlformats.org/officeDocument/2006/relationships/hyperlink" Target="https://www.youtube.com/results?search_query=south+africa+overweight"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hulentwicklung.nrw.de/lehrplaene/lehrplan/200/g9_ek_klp_%203408_2019_06_23.pdf" TargetMode="Externa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s://journals.plos.org/plosone/article?id=10.1371/journal.pone.0224140" TargetMode="External"/><Relationship Id="rId37" Type="http://schemas.openxmlformats.org/officeDocument/2006/relationships/hyperlink" Target="https://edition.cnn.com/interactive/2017/10/health/i-on-india-childhood-obesity/" TargetMode="External"/><Relationship Id="rId40" Type="http://schemas.openxmlformats.org/officeDocument/2006/relationships/hyperlink" Target="https://economictimes.indiatimes.com/industry/healthcare/biotech/healthcare/view-indias-rising-obesity-problem/articleshow/77081281.cms?from=mdr" TargetMode="External"/><Relationship Id="rId45" Type="http://schemas.openxmlformats.org/officeDocument/2006/relationships/hyperlink" Target="https://www.westerncape.gov.za/general-publication/obesity-your-waistline-killing-you" TargetMode="Externa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31" Type="http://schemas.openxmlformats.org/officeDocument/2006/relationships/image" Target="media/image16.png"/><Relationship Id="rId44" Type="http://schemas.openxmlformats.org/officeDocument/2006/relationships/hyperlink" Target="https://www.dailymaverick.co.za/article/2019-09-19-obesity-crisis-threatens-south-africas-health-syste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s://www.youtube.com/watch?v=E65CP4JAq2A" TargetMode="External"/><Relationship Id="rId43" Type="http://schemas.openxmlformats.org/officeDocument/2006/relationships/hyperlink" Target="https://businesstech.co.za/news/lifestyle/331389/heres-how-many-south-africans-are-overweight-according-to-discovery/" TargetMode="External"/><Relationship Id="rId48" Type="http://schemas.openxmlformats.org/officeDocument/2006/relationships/hyperlink" Target="http://www.welthaus.de/bildung/welternaehrung-neu-denken" TargetMode="External"/><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handelsblatt.com/politik/international/weltgeschichten/busch/weltgeschichte-wie-junk-food-brasilien-verwandelt/20384222.html?ticket=ST-2984442-f0QOybubb2xQgbhXuyD9-ap1" TargetMode="External"/><Relationship Id="rId38" Type="http://schemas.openxmlformats.org/officeDocument/2006/relationships/hyperlink" Target="https://www.indiaspend.com/more-indian-girls-women-are-overweight-or-obese-most-of-them-rich-urban/" TargetMode="External"/><Relationship Id="rId46" Type="http://schemas.openxmlformats.org/officeDocument/2006/relationships/hyperlink" Target="https://www.dw.com/de/s%C3%BCdafrika-wenn-essen-krank-macht/g-47602122" TargetMode="External"/><Relationship Id="rId20" Type="http://schemas.openxmlformats.org/officeDocument/2006/relationships/hyperlink" Target="https://shop.welthaus.de" TargetMode="External"/><Relationship Id="rId41" Type="http://schemas.openxmlformats.org/officeDocument/2006/relationships/hyperlink" Target="https://www.spiegel.de/gesundheit/diagnose/indien-zwischen-den-welten-unterernaehrt-oder-zu-dick-a-1044427.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intechopen.com/online-first/obesity-in-school-children-in-india" TargetMode="External"/><Relationship Id="rId2" Type="http://schemas.openxmlformats.org/officeDocument/2006/relationships/hyperlink" Target="https://www.mdpi.com/2072-6643/11/8/1899/htm" TargetMode="External"/><Relationship Id="rId1" Type="http://schemas.openxmlformats.org/officeDocument/2006/relationships/hyperlink" Target="https://www.intechopen.com/online-first/obesity-in-school-children-in-india" TargetMode="External"/><Relationship Id="rId4" Type="http://schemas.openxmlformats.org/officeDocument/2006/relationships/hyperlink" Target="https://www.crazymasalafood.com/top-20-food-companies-indi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325FC12210854AEBB6B24E879D239AA1"/>
        <w:category>
          <w:name w:val="Allgemein"/>
          <w:gallery w:val="placeholder"/>
        </w:category>
        <w:types>
          <w:type w:val="bbPlcHdr"/>
        </w:types>
        <w:behaviors>
          <w:behavior w:val="content"/>
        </w:behaviors>
        <w:guid w:val="{D19C6F88-406E-4E06-8503-42452D7A725D}"/>
      </w:docPartPr>
      <w:docPartBody>
        <w:p w:rsidR="000E6DDD" w:rsidRDefault="00E431A2" w:rsidP="00E431A2">
          <w:pPr>
            <w:pStyle w:val="325FC12210854AEBB6B24E879D239AA1"/>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E6DDD"/>
    <w:rsid w:val="002A50DC"/>
    <w:rsid w:val="009B0A0D"/>
    <w:rsid w:val="00A2123E"/>
    <w:rsid w:val="00E431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431A2"/>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325FC12210854AEBB6B24E879D239AA1">
    <w:name w:val="325FC12210854AEBB6B24E879D239AA1"/>
    <w:rsid w:val="00E431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A3D36-DDE5-4DA2-B18A-17FDED5A2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3441</Words>
  <Characters>21679</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11</cp:revision>
  <cp:lastPrinted>2021-02-25T10:35:00Z</cp:lastPrinted>
  <dcterms:created xsi:type="dcterms:W3CDTF">2021-02-22T10:49:00Z</dcterms:created>
  <dcterms:modified xsi:type="dcterms:W3CDTF">2021-03-03T10:04:00Z</dcterms:modified>
</cp:coreProperties>
</file>