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444AD6">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444AD6">
                  <w:rPr>
                    <w:color w:val="auto"/>
                  </w:rPr>
                  <w:t>3</w:t>
                </w:r>
                <w:r w:rsidRPr="00A43AB9">
                  <w:rPr>
                    <w:b w:val="0"/>
                  </w:rPr>
                  <w:t>]</w:t>
                </w:r>
              </w:p>
            </w:tc>
            <w:tc>
              <w:tcPr>
                <w:tcW w:w="7230" w:type="dxa"/>
                <w:gridSpan w:val="5"/>
                <w:shd w:val="clear" w:color="auto" w:fill="FFF2CC" w:themeFill="accent4" w:themeFillTint="33"/>
                <w:vAlign w:val="center"/>
              </w:tcPr>
              <w:p w:rsidR="00A53E41" w:rsidRPr="00A43AB9" w:rsidRDefault="00444AD6" w:rsidP="00004B67">
                <w:pPr>
                  <w:pStyle w:val="Head1"/>
                  <w:rPr>
                    <w:iCs/>
                    <w:color w:val="0070C0"/>
                  </w:rPr>
                </w:pPr>
                <w:r w:rsidRPr="00444AD6">
                  <w:t>Grenzen der Ernährungsberatung</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B5782C">
                <w:pPr>
                  <w:pStyle w:val="CC-Lizenz-Text"/>
                  <w:spacing w:after="120"/>
                  <w:ind w:right="140"/>
                  <w:rPr>
                    <w:rFonts w:ascii="Calibri" w:hAnsi="Calibri"/>
                    <w:b w:val="0"/>
                    <w:color w:val="auto"/>
                    <w:sz w:val="24"/>
                    <w:szCs w:val="24"/>
                  </w:rPr>
                </w:pPr>
                <w:r w:rsidRPr="005F4DAA">
                  <w:rPr>
                    <w:rStyle w:val="schwarzZchn"/>
                    <w:b w:val="0"/>
                    <w:szCs w:val="24"/>
                  </w:rPr>
                  <w:t>Sek</w:t>
                </w:r>
                <w:r w:rsidR="00B5782C">
                  <w:rPr>
                    <w:rStyle w:val="schwarzZchn"/>
                    <w:b w:val="0"/>
                    <w:szCs w:val="24"/>
                  </w:rPr>
                  <w:t>. II (GY/GE)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B5782C" w:rsidP="00B5782C">
                <w:pPr>
                  <w:pStyle w:val="CC-Lizenz-Text"/>
                  <w:spacing w:after="120"/>
                  <w:ind w:right="140"/>
                  <w:rPr>
                    <w:rFonts w:ascii="Calibri" w:hAnsi="Calibri"/>
                    <w:b w:val="0"/>
                    <w:color w:val="auto"/>
                    <w:sz w:val="24"/>
                    <w:szCs w:val="24"/>
                  </w:rPr>
                </w:pPr>
                <w:r>
                  <w:rPr>
                    <w:rStyle w:val="schwarzZchn"/>
                    <w:b w:val="0"/>
                    <w:szCs w:val="24"/>
                  </w:rPr>
                  <w:t>11</w:t>
                </w:r>
                <w:r w:rsidR="00A43AB9" w:rsidRPr="000552C3">
                  <w:rPr>
                    <w:rStyle w:val="schwarzZchn"/>
                    <w:b w:val="0"/>
                    <w:szCs w:val="24"/>
                  </w:rPr>
                  <w:t xml:space="preserve"> – 1</w:t>
                </w:r>
                <w:r>
                  <w:rPr>
                    <w:rStyle w:val="schwarzZchn"/>
                    <w:b w:val="0"/>
                    <w:szCs w:val="24"/>
                  </w:rPr>
                  <w:t>3</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B5782C" w:rsidP="007E41C7">
                <w:pPr>
                  <w:pStyle w:val="CC-Lizenz-Text"/>
                  <w:spacing w:after="120"/>
                  <w:ind w:right="140"/>
                  <w:rPr>
                    <w:rFonts w:ascii="Calibri" w:hAnsi="Calibri"/>
                    <w:b w:val="0"/>
                    <w:color w:val="auto"/>
                    <w:sz w:val="24"/>
                    <w:szCs w:val="24"/>
                  </w:rPr>
                </w:pPr>
                <w:r w:rsidRPr="00B5782C">
                  <w:rPr>
                    <w:rStyle w:val="schwarzZchn"/>
                    <w:b w:val="0"/>
                    <w:szCs w:val="24"/>
                  </w:rPr>
                  <w:t>Ernährungslehre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B5782C" w:rsidP="000552C3">
                <w:pPr>
                  <w:pStyle w:val="CC-Lizenz-Text"/>
                  <w:spacing w:after="120"/>
                  <w:ind w:right="140"/>
                  <w:rPr>
                    <w:b w:val="0"/>
                    <w:color w:val="0563C1" w:themeColor="hyperlink"/>
                    <w:sz w:val="24"/>
                    <w:szCs w:val="24"/>
                    <w:u w:val="single"/>
                  </w:rPr>
                </w:pPr>
                <w:r>
                  <w:rPr>
                    <w:rStyle w:val="schwarzZchn"/>
                    <w:b w:val="0"/>
                    <w:szCs w:val="24"/>
                  </w:rPr>
                  <w:t>1</w:t>
                </w:r>
                <w:r w:rsidRPr="000552C3">
                  <w:rPr>
                    <w:rStyle w:val="schwarzZchn"/>
                    <w:b w:val="0"/>
                    <w:szCs w:val="24"/>
                  </w:rPr>
                  <w:t xml:space="preserve"> – </w:t>
                </w:r>
                <w:r w:rsidR="00A43AB9"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CF6DA3">
                  <w:t xml:space="preserve"> </w:t>
                </w:r>
                <w:r w:rsidR="00CF6DA3" w:rsidRPr="00A43AB9">
                  <w:t>können</w:t>
                </w:r>
              </w:p>
              <w:p w:rsidR="00444AD6" w:rsidRDefault="00444AD6" w:rsidP="00444AD6">
                <w:pPr>
                  <w:pStyle w:val="Liste1"/>
                </w:pPr>
                <w:r>
                  <w:t>grundsätzliche Fragen der Reichweite von Ernährungsberatung reflektieren;</w:t>
                </w:r>
              </w:p>
              <w:p w:rsidR="000552C3" w:rsidRPr="00A43AB9" w:rsidRDefault="00444AD6" w:rsidP="00444AD6">
                <w:pPr>
                  <w:pStyle w:val="Liste1"/>
                </w:pPr>
                <w:r>
                  <w:t>die Möglichkeiten einer wirksamen Ernährungsberatung im Kontext eines „Entwicklungs</w:t>
                </w:r>
                <w:r>
                  <w:softHyphen/>
                  <w:t>landes“ (Beispielland Brasilien)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r w:rsidR="00B5782C" w:rsidRPr="00B5782C">
                              <w:rPr>
                                <w:rStyle w:val="Hyperlink"/>
                              </w:rPr>
                              <w:t>4724</w:t>
                            </w:r>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444AD6" w:rsidP="00444AD6">
                    <w:pPr>
                      <w:spacing w:after="120"/>
                    </w:pPr>
                    <w:r w:rsidRPr="00444AD6">
                      <w:t xml:space="preserve">Pathophysiologie der Ernährung </w:t>
                    </w:r>
                    <w:r w:rsidR="007E41C7" w:rsidRPr="007E41C7">
                      <w:t>(</w:t>
                    </w:r>
                    <w:proofErr w:type="spellStart"/>
                    <w:r w:rsidR="007E41C7" w:rsidRPr="007E41C7">
                      <w:t>IF</w:t>
                    </w:r>
                    <w:proofErr w:type="spellEnd"/>
                    <w:r w:rsidR="007E41C7" w:rsidRPr="007E41C7">
                      <w:t xml:space="preserve"> </w:t>
                    </w:r>
                    <w:r>
                      <w:t>4</w:t>
                    </w:r>
                    <w:r w:rsidR="007E41C7" w:rsidRPr="007E41C7">
                      <w:t>)</w:t>
                    </w:r>
                  </w:p>
                </w:sdtContent>
              </w:sdt>
            </w:tc>
          </w:tr>
        </w:tbl>
      </w:sdtContent>
    </w:sdt>
    <w:p w:rsidR="00106E8D" w:rsidRPr="000552C3" w:rsidRDefault="00106E8D" w:rsidP="000552C3">
      <w:pPr>
        <w:pStyle w:val="Head2blau"/>
      </w:pPr>
      <w:r w:rsidRPr="000552C3">
        <w:t>Erläuterungen zum Inhaltsfeld</w:t>
      </w:r>
    </w:p>
    <w:p w:rsidR="00444AD6" w:rsidRDefault="00444AD6" w:rsidP="00444AD6">
      <w:pPr>
        <w:pStyle w:val="Textkrper"/>
      </w:pPr>
      <w:r>
        <w:t>Viele Menschen auf unserem Planeten sind fehlernährt. Besonders häufig sind dabei Übergewicht (</w:t>
      </w:r>
      <w:proofErr w:type="spellStart"/>
      <w:r>
        <w:t>BMI</w:t>
      </w:r>
      <w:proofErr w:type="spellEnd"/>
      <w:r>
        <w:t xml:space="preserve"> ≥ 25) und Adipositas (</w:t>
      </w:r>
      <w:proofErr w:type="spellStart"/>
      <w:r>
        <w:t>BMI</w:t>
      </w:r>
      <w:proofErr w:type="spellEnd"/>
      <w:r>
        <w:t xml:space="preserve"> ≥ 25). Seit etlichen Jahren versuchen Regierungen, diesen Trend der Fehlernährung zu stoppen, ihre Bevölkerungen dazu anzuhalten, sich gesünder zu ernähren. Zu den hier häufig implementierten Programmen gehören die Ernährungsberatung für besonders „vulnerable Gruppen“ und die Ernährungslehre in den Schulen. Doch ebenso alt wie diese Programme ist die Frage, ob derartige „Bildungsansätze“ tatsächlich das Ernährungsverhalten der Menschen nachhaltig beeinflussen können.</w:t>
      </w:r>
    </w:p>
    <w:p w:rsidR="00444AD6" w:rsidRDefault="00444AD6" w:rsidP="00444AD6">
      <w:pPr>
        <w:pStyle w:val="Textkrper"/>
      </w:pPr>
      <w:r>
        <w:t>Die Wissenschaft beurteilt diese Frage durchaus kontrovers. Es gibt eine Reihe von Forscherinnen und Forscher, welche glauben, dass genetische Faktoren und früh in der Kindheit erworbene Essgewohnheiten darüber bestimmen, was wir gerne esse</w:t>
      </w:r>
      <w:bookmarkStart w:id="1" w:name="_GoBack"/>
      <w:bookmarkEnd w:id="1"/>
      <w:r>
        <w:t xml:space="preserve">n und in gewissem Maße auch, wie viel wir </w:t>
      </w:r>
      <w:r>
        <w:lastRenderedPageBreak/>
        <w:t>essen.</w:t>
      </w:r>
      <w:r>
        <w:rPr>
          <w:rStyle w:val="Funotenzeichen"/>
          <w:color w:val="000000" w:themeColor="text1"/>
        </w:rPr>
        <w:footnoteReference w:id="1"/>
      </w:r>
      <w:r>
        <w:t xml:space="preserve"> Andere </w:t>
      </w:r>
      <w:proofErr w:type="spellStart"/>
      <w:r>
        <w:t>WissenschaftlerInnen</w:t>
      </w:r>
      <w:proofErr w:type="spellEnd"/>
      <w:r>
        <w:t xml:space="preserve"> verweisen auf situative Variablen (Stress</w:t>
      </w:r>
      <w:r>
        <w:rPr>
          <w:rStyle w:val="Funotenzeichen"/>
          <w:color w:val="000000" w:themeColor="text1"/>
        </w:rPr>
        <w:footnoteReference w:id="2"/>
      </w:r>
      <w:r>
        <w:t xml:space="preserve">, Einsamkeit) oder auf bestimmte Erkrankungen (Depressionen, Schilddrüsenunterfunktion, erhöhter Cortisol-Spiegel), die unser Essverhalten steuern. In jedem Fall können Bildungsprogramme, die auf ein verändertes Ernährungs-Bewusstsein hinwirken wollen, an diesen Ausgangsbedingungen nur begrenzt etwas ändern. </w:t>
      </w:r>
    </w:p>
    <w:p w:rsidR="00444AD6" w:rsidRDefault="00444AD6" w:rsidP="00444AD6">
      <w:pPr>
        <w:pStyle w:val="Textkrper"/>
      </w:pPr>
      <w:r>
        <w:t xml:space="preserve">Es macht aber dennoch Sinn, sich mit der Reichweite von Ernährungs-Bildungsprogrammen auch im Unterricht zu befassen. Selbst wenn das Wissen um die Gesundheitsrisiken meiner falschen Ernährung nur ein kleiner Faktor ist bei der Entscheidung, was ich esse und wie viel ich esse, so ist eine kognitive Begründung für eine notwendige Verhaltensänderung durchaus nicht unwichtig. Bedeutsam wäre aber auch, dass es Menschen klarer wird, warum sie sich wie ernähren, welche Ablenkungs- und Trostfunktion Essen bei ihnen hat und welche sozialen Kontexte (Familie, </w:t>
      </w:r>
      <w:proofErr w:type="spellStart"/>
      <w:r>
        <w:t>peers</w:t>
      </w:r>
      <w:proofErr w:type="spellEnd"/>
      <w:r>
        <w:t xml:space="preserve">) hier eine Rolle spielen. Dass diese Variablen nicht einfach so verändert werden können, liegt auf der Hand. Deshalb verbietet sich auch jede Diskriminierung fehlernährter Menschen. Schließlich wäre noch auf die Salutogenese hinzuweisen, die statt der Kritik am falschen Ernährungsverhalten positive Erfahrungen in den Mittelpunkt stellt: Dass es Spaß machen kann, sich gesünder zu ernähren, leckere neue Gerichte auszuprobieren, selber die Nahrung zuzubereiten und nicht zuletzt in freundlicher Gemeinschaft die Mahlzeit ein zunehmen.  </w:t>
      </w:r>
    </w:p>
    <w:p w:rsidR="00004B67" w:rsidRPr="00AC3CC1" w:rsidRDefault="00444AD6" w:rsidP="00444AD6">
      <w:pPr>
        <w:pStyle w:val="Textkrper"/>
      </w:pPr>
      <w:r>
        <w:t>Die Ausgangsbedingungen für eine Ernährungsberatung im Kontext ärmerer Lebensbedingungen sind dabei noch einmal anders. Hier sind die ökonomischen und sozialen Bedingungen oft so, dass es die Alternativen einer gesünderen Ernährung schwerer haben. Wenn in den Favelas Brasiliens nur industrielles Junkfood verfügbar und bezahlbar ist, nutzt es wenig, darüber aufzuklären, dass selber Kochen mit frischen Lebensmitteln die gesündere Alternative wäre. Auch in Deutsch-land ist der finanzielle Spielraum bei Hartz-IV-Beziehern (8,83 € für die Tagesernährung von alleinerziehender Mutter mit 17-jährigem Kind) sehr beengt, um den Ratschlägen der Ernährungsberatung zu folgen. Die sozialen und ökonomischen Determinanten der Armut sind es, welche die Wirksamkeit von Ernährungsberatung vielerorts Grenzen setzen.</w:t>
      </w:r>
    </w:p>
    <w:p w:rsidR="002D329F" w:rsidRDefault="002D329F" w:rsidP="000552C3">
      <w:pPr>
        <w:pStyle w:val="Head2blau"/>
      </w:pPr>
      <w:r w:rsidRPr="002D329F">
        <w:t>Vorschläge für den Unterricht:</w:t>
      </w:r>
    </w:p>
    <w:p w:rsidR="00444AD6" w:rsidRDefault="00444AD6" w:rsidP="00444AD6">
      <w:pPr>
        <w:pStyle w:val="Liste1"/>
      </w:pPr>
      <w:r>
        <w:t xml:space="preserve">Ein Klassengespräch zu Beginn soll die Einstellungen der </w:t>
      </w:r>
      <w:proofErr w:type="spellStart"/>
      <w:r>
        <w:t>SuS</w:t>
      </w:r>
      <w:proofErr w:type="spellEnd"/>
      <w:r>
        <w:t xml:space="preserve"> zur Sprache bringen: Kann man mit Ernährungsberatung oder mit einem Schulfach Ernährung das Essverhalten beeinflussen? Statements der </w:t>
      </w:r>
      <w:proofErr w:type="spellStart"/>
      <w:r>
        <w:t>SuS</w:t>
      </w:r>
      <w:proofErr w:type="spellEnd"/>
      <w:r>
        <w:t xml:space="preserve"> können gesammelt werden. Sie berühren auch die grundsätzliche Frage, welche Reichweite Bildung und Aufklärung haben und warum so oft das Wissen und die entsprechenden Handlungsweisen (Beispiel: Rauchen) so weit auseinander liegen.</w:t>
      </w:r>
    </w:p>
    <w:p w:rsidR="00444AD6" w:rsidRDefault="00444AD6" w:rsidP="00444AD6">
      <w:pPr>
        <w:pStyle w:val="Liste1"/>
      </w:pPr>
      <w:r>
        <w:t xml:space="preserve">Die Arbeitsblätter </w:t>
      </w:r>
      <w:r w:rsidRPr="00444AD6">
        <w:rPr>
          <w:rStyle w:val="Material-Nr"/>
        </w:rPr>
        <w:t>M-13-1</w:t>
      </w:r>
      <w:r>
        <w:t xml:space="preserve"> (leichtere Version) und </w:t>
      </w:r>
      <w:r w:rsidRPr="00444AD6">
        <w:rPr>
          <w:rStyle w:val="Material-Nr"/>
        </w:rPr>
        <w:t>M-13-2</w:t>
      </w:r>
      <w:r>
        <w:t xml:space="preserve"> (etwas anspruchsvollere Version) können helfen, die o.a. Fragestellung zu vertiefen und differenzierter zu betrachten. Die „Grenzen der Aufklärung“ – gerade auch im Bereich Essverhalten - werden erkennbar.</w:t>
      </w:r>
    </w:p>
    <w:p w:rsidR="00AC3CC1" w:rsidRPr="00AC3CC1" w:rsidRDefault="00444AD6" w:rsidP="00444AD6">
      <w:pPr>
        <w:pStyle w:val="Liste1"/>
      </w:pPr>
      <w:r>
        <w:t>Der Film „Das Geschäft mit der Armut“ (43. Min) zeigt (am Beispiel Brasilien und Kamerun), wie sehr ökonomische und soziale Determinanten das Essverhalten der Menschen bestimmen und wie schwer es hier gesundheitliche Aufklärung und Ernährungsberatung haben. Der Film (</w:t>
      </w:r>
      <w:r w:rsidRPr="00444AD6">
        <w:rPr>
          <w:rStyle w:val="Material-Nr"/>
        </w:rPr>
        <w:t>V-1</w:t>
      </w:r>
      <w:r>
        <w:t xml:space="preserve">) ist auf dem USB-Stick in unserem Lernpaket zu finden. Eine ausführliche Beschreibung gibt es unter </w:t>
      </w:r>
      <w:r w:rsidRPr="00444AD6">
        <w:rPr>
          <w:rStyle w:val="Material-Nr"/>
        </w:rPr>
        <w:t>V-1-M</w:t>
      </w:r>
      <w:r>
        <w:t xml:space="preserve">. </w:t>
      </w:r>
    </w:p>
    <w:p w:rsidR="0055329C" w:rsidRDefault="00D34A70" w:rsidP="00AC3CC1">
      <w:pPr>
        <w:pStyle w:val="Head2blau"/>
      </w:pPr>
      <w:r w:rsidRPr="00D34A70">
        <w:t>Hinweise auf M</w:t>
      </w:r>
      <w:r w:rsidR="00AC3CC1">
        <w:t>ed</w:t>
      </w:r>
      <w:r w:rsidRPr="00D34A70">
        <w:t>ien</w:t>
      </w:r>
    </w:p>
    <w:p w:rsidR="00AA4607" w:rsidRDefault="00D93ED5" w:rsidP="00AA4607">
      <w:pPr>
        <w:pStyle w:val="Liste1"/>
        <w:suppressAutoHyphens/>
      </w:pPr>
      <w:hyperlink r:id="rId16" w:history="1">
        <w:r w:rsidR="00AA4607" w:rsidRPr="004337D1">
          <w:rPr>
            <w:rStyle w:val="Hyperlink"/>
          </w:rPr>
          <w:t>Stellungnahme</w:t>
        </w:r>
      </w:hyperlink>
      <w:r w:rsidR="00AA4607">
        <w:t xml:space="preserve"> Prof. Dr. P. </w:t>
      </w:r>
      <w:proofErr w:type="spellStart"/>
      <w:r w:rsidR="00AA4607">
        <w:t>Nawroth</w:t>
      </w:r>
      <w:proofErr w:type="spellEnd"/>
      <w:r w:rsidR="00AA4607">
        <w:t xml:space="preserve">, Anhörung Bundestag, </w:t>
      </w:r>
      <w:proofErr w:type="spellStart"/>
      <w:r w:rsidR="00AA4607">
        <w:t>AEL</w:t>
      </w:r>
      <w:proofErr w:type="spellEnd"/>
      <w:r w:rsidR="00AA4607">
        <w:t>.</w:t>
      </w:r>
    </w:p>
    <w:p w:rsidR="00D34A70" w:rsidRDefault="00D93ED5" w:rsidP="00AA4607">
      <w:pPr>
        <w:pStyle w:val="Liste1"/>
      </w:pPr>
      <w:hyperlink r:id="rId17" w:history="1">
        <w:r w:rsidR="00AA4607" w:rsidRPr="00AA4607">
          <w:rPr>
            <w:rStyle w:val="Hyperlink"/>
          </w:rPr>
          <w:t>Stellungnahme</w:t>
        </w:r>
      </w:hyperlink>
      <w:r w:rsidR="00AA4607">
        <w:t xml:space="preserve"> Dr. G. Koch, Anhörung Bundestag, </w:t>
      </w:r>
      <w:proofErr w:type="spellStart"/>
      <w:r w:rsidR="00AA4607">
        <w:t>AEL</w:t>
      </w:r>
      <w:proofErr w:type="spellEnd"/>
      <w:r w:rsidR="00AA4607">
        <w:t>.</w:t>
      </w:r>
    </w:p>
    <w:p w:rsidR="0079763B" w:rsidRDefault="005E0E83" w:rsidP="00AA4607">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7E78B2" w:rsidRPr="000032FB" w:rsidRDefault="007E78B2" w:rsidP="007E78B2">
      <w:pPr>
        <w:pStyle w:val="AB-Nr"/>
      </w:pPr>
      <w:r w:rsidRPr="000032FB">
        <w:lastRenderedPageBreak/>
        <w:t>M</w:t>
      </w:r>
      <w:r w:rsidRPr="007E78B2">
        <w:rPr>
          <w:rStyle w:val="AB-NrZchn"/>
        </w:rPr>
        <w:t>-</w:t>
      </w:r>
      <w:r w:rsidR="004C0B0E">
        <w:t>1</w:t>
      </w:r>
      <w:r w:rsidR="00AA4607">
        <w:t>3</w:t>
      </w:r>
      <w:r>
        <w:t>-1</w:t>
      </w:r>
    </w:p>
    <w:p w:rsidR="007E78B2" w:rsidRDefault="00AA4607" w:rsidP="004C0B0E">
      <w:pPr>
        <w:pStyle w:val="ABHead1"/>
        <w:rPr>
          <w:rStyle w:val="ABHead1Zchn"/>
        </w:rPr>
      </w:pPr>
      <w:r w:rsidRPr="00AA4607">
        <w:t>Kann man mit Ernährungsberatung das Essverhalten ändern?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8"/>
        <w:gridCol w:w="3980"/>
        <w:gridCol w:w="2830"/>
      </w:tblGrid>
      <w:tr w:rsidR="00AA4607" w:rsidTr="00D65791">
        <w:tc>
          <w:tcPr>
            <w:tcW w:w="2818" w:type="dxa"/>
            <w:noWrap/>
            <w:tcMar>
              <w:left w:w="0" w:type="dxa"/>
              <w:right w:w="0" w:type="dxa"/>
            </w:tcMar>
          </w:tcPr>
          <w:p w:rsidR="00AA4607" w:rsidRDefault="00AA4607" w:rsidP="004834CE">
            <w:pPr>
              <w:pStyle w:val="Fuzeile"/>
              <w:tabs>
                <w:tab w:val="clear" w:pos="4536"/>
                <w:tab w:val="clear" w:pos="9072"/>
              </w:tabs>
              <w:rPr>
                <w:rFonts w:ascii="Verdana" w:hAnsi="Verdana"/>
              </w:rPr>
            </w:pPr>
            <w:r>
              <w:rPr>
                <w:noProof/>
                <w:lang w:eastAsia="de-DE"/>
              </w:rPr>
              <w:drawing>
                <wp:anchor distT="0" distB="0" distL="114300" distR="114300" simplePos="0" relativeHeight="251694080" behindDoc="0" locked="0" layoutInCell="1" allowOverlap="1">
                  <wp:simplePos x="0" y="0"/>
                  <wp:positionH relativeFrom="column">
                    <wp:posOffset>2223</wp:posOffset>
                  </wp:positionH>
                  <wp:positionV relativeFrom="paragraph">
                    <wp:posOffset>1588</wp:posOffset>
                  </wp:positionV>
                  <wp:extent cx="1788555" cy="1270000"/>
                  <wp:effectExtent l="0" t="0" r="254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123"/>
                          <a:stretch/>
                        </pic:blipFill>
                        <pic:spPr bwMode="auto">
                          <a:xfrm>
                            <a:off x="0" y="0"/>
                            <a:ext cx="1789200" cy="12704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6" w:type="dxa"/>
          </w:tcPr>
          <w:p w:rsidR="00AA4607" w:rsidRDefault="00AA4607" w:rsidP="004834CE">
            <w:pPr>
              <w:pStyle w:val="Fuzeile"/>
              <w:tabs>
                <w:tab w:val="clear" w:pos="4536"/>
                <w:tab w:val="clear" w:pos="9072"/>
              </w:tabs>
              <w:jc w:val="center"/>
              <w:rPr>
                <w:rFonts w:ascii="Verdana" w:hAnsi="Verdana"/>
              </w:rPr>
            </w:pPr>
          </w:p>
          <w:p w:rsidR="00AA4607" w:rsidRDefault="00AA4607" w:rsidP="004834CE">
            <w:pPr>
              <w:pStyle w:val="Fuzeile"/>
              <w:tabs>
                <w:tab w:val="clear" w:pos="4536"/>
                <w:tab w:val="clear" w:pos="9072"/>
              </w:tabs>
              <w:jc w:val="center"/>
              <w:rPr>
                <w:rFonts w:ascii="Verdana" w:hAnsi="Verdana"/>
                <w:sz w:val="32"/>
              </w:rPr>
            </w:pPr>
            <w:r>
              <w:rPr>
                <w:rFonts w:ascii="Verdana" w:hAnsi="Verdana"/>
              </w:rPr>
              <w:t xml:space="preserve">Bitte so </w:t>
            </w:r>
            <w:proofErr w:type="gramStart"/>
            <w:r>
              <w:rPr>
                <w:rFonts w:ascii="Verdana" w:hAnsi="Verdana"/>
              </w:rPr>
              <w:t xml:space="preserve">ankreuzen </w:t>
            </w:r>
            <w:proofErr w:type="gramEnd"/>
            <w:r>
              <w:rPr>
                <w:rFonts w:ascii="Verdana" w:hAnsi="Verdana"/>
                <w:b/>
                <w:bCs/>
                <w:sz w:val="32"/>
              </w:rPr>
              <w:sym w:font="Wingdings 2" w:char="F056"/>
            </w:r>
            <w:r>
              <w:rPr>
                <w:rFonts w:ascii="Verdana" w:hAnsi="Verdana"/>
              </w:rPr>
              <w:t>, dass dadurch der Grad der Zustimmung zu der linken oder rechten Aussage deutlich wird.</w:t>
            </w:r>
            <w:r>
              <w:rPr>
                <w:rFonts w:ascii="Verdana" w:hAnsi="Verdana"/>
              </w:rPr>
              <w:br/>
            </w:r>
          </w:p>
        </w:tc>
        <w:tc>
          <w:tcPr>
            <w:tcW w:w="2830" w:type="dxa"/>
            <w:noWrap/>
            <w:tcMar>
              <w:left w:w="0" w:type="dxa"/>
              <w:right w:w="0" w:type="dxa"/>
            </w:tcMar>
          </w:tcPr>
          <w:p w:rsidR="00AA4607" w:rsidRDefault="00AA4607" w:rsidP="004834CE">
            <w:pPr>
              <w:pStyle w:val="Fuzeile"/>
              <w:tabs>
                <w:tab w:val="clear" w:pos="4536"/>
                <w:tab w:val="clear" w:pos="9072"/>
              </w:tabs>
              <w:jc w:val="center"/>
              <w:rPr>
                <w:rFonts w:ascii="Verdana" w:hAnsi="Verdana"/>
              </w:rPr>
            </w:pPr>
            <w:r>
              <w:rPr>
                <w:noProof/>
                <w:lang w:eastAsia="de-DE"/>
              </w:rPr>
              <w:drawing>
                <wp:inline distT="0" distB="0" distL="0" distR="0" wp14:anchorId="10237D2C" wp14:editId="3C85C758">
                  <wp:extent cx="1787849" cy="1270000"/>
                  <wp:effectExtent l="0" t="0" r="317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564" b="14053"/>
                          <a:stretch/>
                        </pic:blipFill>
                        <pic:spPr bwMode="auto">
                          <a:xfrm>
                            <a:off x="0" y="0"/>
                            <a:ext cx="1850768" cy="1314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607" w:rsidTr="00D65791">
        <w:tc>
          <w:tcPr>
            <w:tcW w:w="2818" w:type="dxa"/>
          </w:tcPr>
          <w:p w:rsidR="00AA4607" w:rsidRPr="00D85102" w:rsidRDefault="00AA4607" w:rsidP="00D65791">
            <w:pPr>
              <w:pStyle w:val="Textkrper"/>
              <w:suppressAutoHyphens/>
            </w:pPr>
            <w:r>
              <w:sym w:font="Wingdings" w:char="F081"/>
            </w:r>
            <w:r>
              <w:t xml:space="preserve"> </w:t>
            </w:r>
            <w:r w:rsidRPr="00D85102">
              <w:t>Ernährungsberatung und Aufklärung über die Risiken einer ungesunden Ernährung sind unbedingt notwendig.</w:t>
            </w:r>
          </w:p>
        </w:tc>
        <w:tc>
          <w:tcPr>
            <w:tcW w:w="4146" w:type="dxa"/>
          </w:tcPr>
          <w:p w:rsidR="00AA4607" w:rsidRPr="00D65791" w:rsidRDefault="00AA4607" w:rsidP="004834CE">
            <w:pPr>
              <w:pStyle w:val="Fuzeile"/>
              <w:tabs>
                <w:tab w:val="clear" w:pos="4536"/>
                <w:tab w:val="clear" w:pos="9072"/>
              </w:tabs>
              <w:jc w:val="center"/>
              <w:rPr>
                <w:rFonts w:ascii="Verdana" w:hAnsi="Verdana"/>
                <w:sz w:val="30"/>
                <w:szCs w:val="30"/>
              </w:rPr>
            </w:pPr>
          </w:p>
          <w:p w:rsidR="00AA4607" w:rsidRPr="00D65791" w:rsidRDefault="00AA4607" w:rsidP="004834CE">
            <w:pPr>
              <w:pStyle w:val="Fuzeile"/>
              <w:tabs>
                <w:tab w:val="clear" w:pos="4536"/>
                <w:tab w:val="clear" w:pos="9072"/>
              </w:tabs>
              <w:jc w:val="center"/>
              <w:rPr>
                <w:rFonts w:ascii="Verdana" w:hAnsi="Verdana"/>
                <w:sz w:val="30"/>
                <w:szCs w:val="30"/>
              </w:rPr>
            </w:pPr>
            <w:r w:rsidRPr="00D65791">
              <w:rPr>
                <w:rFonts w:ascii="Verdana" w:hAnsi="Verdana"/>
                <w:sz w:val="30"/>
                <w:szCs w:val="30"/>
              </w:rPr>
              <w:t>0-----0-----0-----0-----0</w:t>
            </w:r>
          </w:p>
        </w:tc>
        <w:tc>
          <w:tcPr>
            <w:tcW w:w="2830" w:type="dxa"/>
          </w:tcPr>
          <w:p w:rsidR="00AA4607" w:rsidRPr="00D85102" w:rsidRDefault="00AA4607" w:rsidP="00D65791">
            <w:pPr>
              <w:pStyle w:val="Textkrper"/>
            </w:pPr>
            <w:r>
              <w:sym w:font="Wingdings" w:char="F081"/>
            </w:r>
            <w:r>
              <w:t xml:space="preserve"> </w:t>
            </w:r>
            <w:r w:rsidRPr="00D85102">
              <w:t xml:space="preserve">Ernährungsberatung </w:t>
            </w:r>
            <w:r>
              <w:t>ist</w:t>
            </w:r>
            <w:r w:rsidRPr="00D85102">
              <w:t xml:space="preserve"> überflüssig. Die Menschen esse</w:t>
            </w:r>
            <w:r>
              <w:t>n</w:t>
            </w:r>
            <w:r w:rsidRPr="00D85102">
              <w:t xml:space="preserve">, </w:t>
            </w:r>
            <w:r w:rsidRPr="00D65791">
              <w:rPr>
                <w:rStyle w:val="TextkrperZchn"/>
              </w:rPr>
              <w:t>o</w:t>
            </w:r>
            <w:r>
              <w:t xml:space="preserve">hnehin nur, </w:t>
            </w:r>
            <w:r w:rsidRPr="00D85102">
              <w:t>was ihnen schmeckt.</w:t>
            </w:r>
          </w:p>
        </w:tc>
      </w:tr>
      <w:tr w:rsidR="00AA4607" w:rsidTr="00D65791">
        <w:tc>
          <w:tcPr>
            <w:tcW w:w="2818" w:type="dxa"/>
          </w:tcPr>
          <w:p w:rsidR="00AA4607" w:rsidRPr="00D85102" w:rsidRDefault="00AA4607" w:rsidP="00D65791">
            <w:pPr>
              <w:pStyle w:val="Textkrper"/>
              <w:suppressAutoHyphens/>
            </w:pPr>
            <w:r>
              <w:sym w:font="Wingdings" w:char="F082"/>
            </w:r>
            <w:r>
              <w:t xml:space="preserve"> Unsere </w:t>
            </w:r>
            <w:r w:rsidRPr="00D85102">
              <w:t xml:space="preserve">Ernährung ist von unseren Genen bestimmt. </w:t>
            </w:r>
            <w:r>
              <w:t>Daran kann auch eine noch so gute Ernährungs-</w:t>
            </w:r>
            <w:r w:rsidRPr="00D85102">
              <w:t>Beratung nichts ändern.</w:t>
            </w:r>
          </w:p>
        </w:tc>
        <w:tc>
          <w:tcPr>
            <w:tcW w:w="4146" w:type="dxa"/>
          </w:tcPr>
          <w:p w:rsidR="00AA4607" w:rsidRPr="00D65791" w:rsidRDefault="00AA4607" w:rsidP="004834CE">
            <w:pPr>
              <w:pStyle w:val="Fuzeile"/>
              <w:tabs>
                <w:tab w:val="clear" w:pos="4536"/>
                <w:tab w:val="clear" w:pos="9072"/>
              </w:tabs>
              <w:jc w:val="center"/>
              <w:rPr>
                <w:rFonts w:ascii="Verdana" w:hAnsi="Verdana"/>
                <w:sz w:val="30"/>
                <w:szCs w:val="30"/>
              </w:rPr>
            </w:pPr>
          </w:p>
          <w:p w:rsidR="00AA4607" w:rsidRPr="00D65791" w:rsidRDefault="00D65791" w:rsidP="004834CE">
            <w:pPr>
              <w:pStyle w:val="Fuzeile"/>
              <w:tabs>
                <w:tab w:val="clear" w:pos="4536"/>
                <w:tab w:val="clear" w:pos="9072"/>
              </w:tabs>
              <w:jc w:val="center"/>
              <w:rPr>
                <w:rFonts w:ascii="Verdana" w:hAnsi="Verdana"/>
                <w:sz w:val="30"/>
                <w:szCs w:val="30"/>
              </w:rPr>
            </w:pPr>
            <w:r w:rsidRPr="00D65791">
              <w:rPr>
                <w:rFonts w:ascii="Verdana" w:hAnsi="Verdana"/>
                <w:sz w:val="30"/>
                <w:szCs w:val="30"/>
              </w:rPr>
              <w:t>0-----0-----0-----0-----0</w:t>
            </w:r>
          </w:p>
        </w:tc>
        <w:tc>
          <w:tcPr>
            <w:tcW w:w="2830" w:type="dxa"/>
          </w:tcPr>
          <w:p w:rsidR="00AA4607" w:rsidRPr="00D85102" w:rsidRDefault="00AA4607" w:rsidP="00D65791">
            <w:pPr>
              <w:pStyle w:val="Textkrper"/>
            </w:pPr>
            <w:r>
              <w:sym w:font="Wingdings" w:char="F082"/>
            </w:r>
            <w:r>
              <w:t xml:space="preserve"> </w:t>
            </w:r>
            <w:r w:rsidRPr="00D85102">
              <w:t xml:space="preserve">Unser Essverhalten ist nicht genetisch eindeutig bestimmt. Menschen können </w:t>
            </w:r>
            <w:r>
              <w:t xml:space="preserve">sich ändern, können </w:t>
            </w:r>
            <w:r w:rsidRPr="00D85102">
              <w:t>anders essen, wenn sie sich dazu entschließen.</w:t>
            </w:r>
          </w:p>
        </w:tc>
      </w:tr>
      <w:tr w:rsidR="00AA4607" w:rsidTr="00D65791">
        <w:tc>
          <w:tcPr>
            <w:tcW w:w="2818" w:type="dxa"/>
          </w:tcPr>
          <w:p w:rsidR="00AA4607" w:rsidRDefault="00AA4607" w:rsidP="00D65791">
            <w:pPr>
              <w:pStyle w:val="Textkrper"/>
              <w:rPr>
                <w:rFonts w:ascii="Verdana" w:hAnsi="Verdana"/>
              </w:rPr>
            </w:pPr>
            <w:r>
              <w:rPr>
                <w:rFonts w:ascii="Verdana" w:hAnsi="Verdana"/>
              </w:rPr>
              <w:sym w:font="Wingdings" w:char="F083"/>
            </w:r>
            <w:r>
              <w:rPr>
                <w:rFonts w:ascii="Verdana" w:hAnsi="Verdana"/>
              </w:rPr>
              <w:t xml:space="preserve"> </w:t>
            </w:r>
            <w:r w:rsidRPr="00D65791">
              <w:t xml:space="preserve">Ernährungsberatung könnte funktionieren, wenn sie moderner und </w:t>
            </w:r>
            <w:r w:rsidR="00D65791">
              <w:br/>
            </w:r>
            <w:r w:rsidRPr="00D65791">
              <w:t xml:space="preserve">attraktiver über die </w:t>
            </w:r>
            <w:proofErr w:type="spellStart"/>
            <w:r w:rsidRPr="00D65791">
              <w:t>social</w:t>
            </w:r>
            <w:proofErr w:type="spellEnd"/>
            <w:r w:rsidRPr="00D65791">
              <w:t xml:space="preserve"> </w:t>
            </w:r>
            <w:proofErr w:type="spellStart"/>
            <w:r w:rsidRPr="00D65791">
              <w:t>media</w:t>
            </w:r>
            <w:proofErr w:type="spellEnd"/>
            <w:r w:rsidRPr="00D65791">
              <w:t xml:space="preserve"> gestaltet wird. </w:t>
            </w:r>
          </w:p>
        </w:tc>
        <w:tc>
          <w:tcPr>
            <w:tcW w:w="4146" w:type="dxa"/>
          </w:tcPr>
          <w:p w:rsidR="00AA4607" w:rsidRPr="00D65791" w:rsidRDefault="00AA4607" w:rsidP="004834CE">
            <w:pPr>
              <w:pStyle w:val="Fuzeile"/>
              <w:tabs>
                <w:tab w:val="clear" w:pos="4536"/>
                <w:tab w:val="clear" w:pos="9072"/>
              </w:tabs>
              <w:jc w:val="center"/>
              <w:rPr>
                <w:rFonts w:ascii="Verdana" w:hAnsi="Verdana"/>
                <w:sz w:val="30"/>
                <w:szCs w:val="30"/>
              </w:rPr>
            </w:pPr>
          </w:p>
          <w:p w:rsidR="00AA4607" w:rsidRPr="00D65791" w:rsidRDefault="00D65791" w:rsidP="004834CE">
            <w:pPr>
              <w:pStyle w:val="Fuzeile"/>
              <w:tabs>
                <w:tab w:val="clear" w:pos="4536"/>
                <w:tab w:val="clear" w:pos="9072"/>
              </w:tabs>
              <w:jc w:val="center"/>
              <w:rPr>
                <w:rFonts w:ascii="Verdana" w:hAnsi="Verdana"/>
                <w:sz w:val="30"/>
                <w:szCs w:val="30"/>
              </w:rPr>
            </w:pPr>
            <w:r w:rsidRPr="00D65791">
              <w:rPr>
                <w:rFonts w:ascii="Verdana" w:hAnsi="Verdana"/>
                <w:sz w:val="30"/>
                <w:szCs w:val="30"/>
              </w:rPr>
              <w:t>0-----0-----0-----0-----0</w:t>
            </w:r>
          </w:p>
        </w:tc>
        <w:tc>
          <w:tcPr>
            <w:tcW w:w="2830" w:type="dxa"/>
          </w:tcPr>
          <w:p w:rsidR="00AA4607" w:rsidRDefault="00AA4607" w:rsidP="00D65791">
            <w:pPr>
              <w:pStyle w:val="Textkrper"/>
              <w:rPr>
                <w:rFonts w:ascii="Verdana" w:hAnsi="Verdana"/>
              </w:rPr>
            </w:pPr>
            <w:r>
              <w:rPr>
                <w:rFonts w:ascii="Verdana" w:hAnsi="Verdana"/>
              </w:rPr>
              <w:sym w:font="Wingdings" w:char="F083"/>
            </w:r>
            <w:r>
              <w:rPr>
                <w:rFonts w:ascii="Verdana" w:hAnsi="Verdana"/>
              </w:rPr>
              <w:t xml:space="preserve"> </w:t>
            </w:r>
            <w:r w:rsidRPr="00D65791">
              <w:t>Ernährungsberatung kann noch so hipp sein. Wir haben unsere guten Gründe, warum wir unsere Essgewohnheiten nicht ändern.</w:t>
            </w:r>
          </w:p>
        </w:tc>
      </w:tr>
      <w:tr w:rsidR="00AA4607" w:rsidTr="00D65791">
        <w:tc>
          <w:tcPr>
            <w:tcW w:w="2818" w:type="dxa"/>
          </w:tcPr>
          <w:p w:rsidR="00AA4607" w:rsidRPr="00D85102" w:rsidRDefault="00AA4607" w:rsidP="00D65791">
            <w:pPr>
              <w:pStyle w:val="Textkrper"/>
            </w:pPr>
            <w:r>
              <w:sym w:font="Wingdings" w:char="F084"/>
            </w:r>
            <w:r>
              <w:t xml:space="preserve"> </w:t>
            </w:r>
            <w:r w:rsidRPr="00D85102">
              <w:t>Ernährungsberatung bei armen Menschen ist sinnlos, weil sie keinen ökonomischen Spielraum haben, anders zu essen.</w:t>
            </w:r>
          </w:p>
        </w:tc>
        <w:tc>
          <w:tcPr>
            <w:tcW w:w="4146" w:type="dxa"/>
          </w:tcPr>
          <w:p w:rsidR="00AA4607" w:rsidRPr="00D65791" w:rsidRDefault="00AA4607" w:rsidP="004834CE">
            <w:pPr>
              <w:pStyle w:val="Fuzeile"/>
              <w:tabs>
                <w:tab w:val="clear" w:pos="4536"/>
                <w:tab w:val="clear" w:pos="9072"/>
              </w:tabs>
              <w:jc w:val="center"/>
              <w:rPr>
                <w:rFonts w:ascii="Verdana" w:hAnsi="Verdana"/>
                <w:sz w:val="30"/>
                <w:szCs w:val="30"/>
              </w:rPr>
            </w:pPr>
          </w:p>
          <w:p w:rsidR="00AA4607" w:rsidRPr="00D65791" w:rsidRDefault="00AA4607" w:rsidP="004834CE">
            <w:pPr>
              <w:pStyle w:val="Fuzeile"/>
              <w:tabs>
                <w:tab w:val="clear" w:pos="4536"/>
                <w:tab w:val="clear" w:pos="9072"/>
              </w:tabs>
              <w:jc w:val="center"/>
              <w:rPr>
                <w:rFonts w:ascii="Verdana" w:hAnsi="Verdana"/>
                <w:sz w:val="30"/>
                <w:szCs w:val="30"/>
              </w:rPr>
            </w:pPr>
            <w:r w:rsidRPr="00D65791">
              <w:rPr>
                <w:rFonts w:ascii="Verdana" w:hAnsi="Verdana"/>
                <w:sz w:val="30"/>
                <w:szCs w:val="30"/>
              </w:rPr>
              <w:t>0-----0-----0-----0-----0</w:t>
            </w:r>
          </w:p>
        </w:tc>
        <w:tc>
          <w:tcPr>
            <w:tcW w:w="2830" w:type="dxa"/>
          </w:tcPr>
          <w:p w:rsidR="00AA4607" w:rsidRPr="00D85102" w:rsidRDefault="00AA4607" w:rsidP="00D65791">
            <w:pPr>
              <w:pStyle w:val="Textkrper"/>
            </w:pPr>
            <w:r>
              <w:sym w:font="Wingdings" w:char="F084"/>
            </w:r>
            <w:r>
              <w:t xml:space="preserve"> </w:t>
            </w:r>
            <w:r w:rsidRPr="00D85102">
              <w:t>Auch die Armen haben einen Spielraum für Kauf</w:t>
            </w:r>
            <w:r w:rsidR="00D65791">
              <w:softHyphen/>
            </w:r>
            <w:r w:rsidRPr="00D85102">
              <w:t xml:space="preserve">entscheidungen. Ernährungsberatung könnte </w:t>
            </w:r>
            <w:r w:rsidR="00D65791">
              <w:br/>
            </w:r>
            <w:r w:rsidRPr="00D85102">
              <w:t>gerade hier Beratung anbieten.</w:t>
            </w:r>
          </w:p>
        </w:tc>
      </w:tr>
      <w:tr w:rsidR="00AA4607" w:rsidTr="00D65791">
        <w:tc>
          <w:tcPr>
            <w:tcW w:w="2818" w:type="dxa"/>
          </w:tcPr>
          <w:p w:rsidR="00AA4607" w:rsidRDefault="00AA4607" w:rsidP="00D65791">
            <w:pPr>
              <w:pStyle w:val="Textkrper"/>
              <w:rPr>
                <w:rFonts w:ascii="Verdana" w:hAnsi="Verdana"/>
              </w:rPr>
            </w:pPr>
            <w:r>
              <w:rPr>
                <w:rFonts w:ascii="Verdana" w:hAnsi="Verdana"/>
              </w:rPr>
              <w:sym w:font="Wingdings" w:char="F085"/>
            </w:r>
            <w:r>
              <w:rPr>
                <w:rFonts w:ascii="Verdana" w:hAnsi="Verdana"/>
              </w:rPr>
              <w:t xml:space="preserve"> </w:t>
            </w:r>
            <w:r w:rsidRPr="00D65791">
              <w:t xml:space="preserve">Jeder Mensch hat das Recht, sich ohne Einmischung von außen so zu </w:t>
            </w:r>
            <w:r w:rsidR="00D65791">
              <w:br/>
            </w:r>
            <w:r w:rsidRPr="00D65791">
              <w:t>ernähren, wie es möchte.</w:t>
            </w:r>
          </w:p>
        </w:tc>
        <w:tc>
          <w:tcPr>
            <w:tcW w:w="4146" w:type="dxa"/>
          </w:tcPr>
          <w:p w:rsidR="00AA4607" w:rsidRPr="00D65791" w:rsidRDefault="00AA4607" w:rsidP="004834CE">
            <w:pPr>
              <w:pStyle w:val="Fuzeile"/>
              <w:tabs>
                <w:tab w:val="clear" w:pos="4536"/>
                <w:tab w:val="clear" w:pos="9072"/>
              </w:tabs>
              <w:jc w:val="center"/>
              <w:rPr>
                <w:rFonts w:ascii="Verdana" w:hAnsi="Verdana"/>
                <w:sz w:val="30"/>
                <w:szCs w:val="30"/>
              </w:rPr>
            </w:pPr>
          </w:p>
          <w:p w:rsidR="00AA4607" w:rsidRPr="00D65791" w:rsidRDefault="00AA4607" w:rsidP="004834CE">
            <w:pPr>
              <w:pStyle w:val="Fuzeile"/>
              <w:tabs>
                <w:tab w:val="clear" w:pos="4536"/>
                <w:tab w:val="clear" w:pos="9072"/>
              </w:tabs>
              <w:jc w:val="center"/>
              <w:rPr>
                <w:rFonts w:ascii="Verdana" w:hAnsi="Verdana"/>
                <w:sz w:val="30"/>
                <w:szCs w:val="30"/>
              </w:rPr>
            </w:pPr>
            <w:r w:rsidRPr="00D65791">
              <w:rPr>
                <w:rFonts w:ascii="Verdana" w:hAnsi="Verdana"/>
                <w:sz w:val="30"/>
                <w:szCs w:val="30"/>
              </w:rPr>
              <w:t>0-----0-----0-----0-----0</w:t>
            </w:r>
          </w:p>
        </w:tc>
        <w:tc>
          <w:tcPr>
            <w:tcW w:w="2830" w:type="dxa"/>
          </w:tcPr>
          <w:p w:rsidR="00AA4607" w:rsidRPr="00D85102" w:rsidRDefault="00AA4607" w:rsidP="00D65791">
            <w:pPr>
              <w:pStyle w:val="Textkrper"/>
              <w:rPr>
                <w:b/>
                <w:bCs/>
                <w:color w:val="C00000"/>
              </w:rPr>
            </w:pPr>
            <w:r>
              <w:sym w:font="Wingdings" w:char="F085"/>
            </w:r>
            <w:r>
              <w:t xml:space="preserve"> </w:t>
            </w:r>
            <w:r w:rsidRPr="00D85102">
              <w:t xml:space="preserve">Die Gesellschaft hat die Pflicht, Einfluss zu nehmen auf </w:t>
            </w:r>
            <w:r>
              <w:t xml:space="preserve">das </w:t>
            </w:r>
            <w:r w:rsidRPr="00D85102">
              <w:t xml:space="preserve">Essverhalten, </w:t>
            </w:r>
            <w:r>
              <w:t xml:space="preserve">wenn erhebliche </w:t>
            </w:r>
            <w:r w:rsidRPr="00D85102">
              <w:t>gesundheitlich</w:t>
            </w:r>
            <w:r w:rsidR="00D65791">
              <w:t>e</w:t>
            </w:r>
            <w:r w:rsidRPr="00D85102">
              <w:t xml:space="preserve"> Risiken </w:t>
            </w:r>
            <w:r>
              <w:t>damit verbunden sind.</w:t>
            </w:r>
          </w:p>
        </w:tc>
      </w:tr>
    </w:tbl>
    <w:p w:rsidR="00FE4C9C" w:rsidRDefault="00FE4C9C" w:rsidP="003862BC">
      <w:pPr>
        <w:pStyle w:val="Textkrper"/>
        <w:rPr>
          <w:noProof/>
          <w:lang w:eastAsia="de-DE"/>
        </w:rPr>
      </w:pPr>
    </w:p>
    <w:p w:rsidR="003C7309" w:rsidRPr="000032FB" w:rsidRDefault="003C7309" w:rsidP="003C7309">
      <w:pPr>
        <w:pStyle w:val="AB-Nr"/>
      </w:pPr>
      <w:r w:rsidRPr="000032FB">
        <w:lastRenderedPageBreak/>
        <w:t>M</w:t>
      </w:r>
      <w:r w:rsidRPr="007E78B2">
        <w:rPr>
          <w:rStyle w:val="AB-NrZchn"/>
        </w:rPr>
        <w:t>-</w:t>
      </w:r>
      <w:r>
        <w:t>1</w:t>
      </w:r>
      <w:r w:rsidR="00727D84">
        <w:t>3</w:t>
      </w:r>
      <w:r>
        <w:t>-</w:t>
      </w:r>
      <w:r w:rsidR="00727D84">
        <w:t>2</w:t>
      </w:r>
    </w:p>
    <w:p w:rsidR="003C7309" w:rsidRDefault="00727D84" w:rsidP="003C7309">
      <w:pPr>
        <w:pStyle w:val="ABHead1"/>
      </w:pPr>
      <w:r w:rsidRPr="00727D84">
        <w:t>Macht Ernährungsberatung Sinn?</w:t>
      </w:r>
    </w:p>
    <w:p w:rsidR="00727D84" w:rsidRPr="00641AB1" w:rsidRDefault="00727D84" w:rsidP="00727D84">
      <w:pPr>
        <w:pBdr>
          <w:top w:val="single" w:sz="4" w:space="1" w:color="auto"/>
          <w:left w:val="single" w:sz="4" w:space="4" w:color="auto"/>
          <w:bottom w:val="single" w:sz="4" w:space="1" w:color="auto"/>
          <w:right w:val="single" w:sz="4" w:space="4" w:color="auto"/>
        </w:pBdr>
        <w:rPr>
          <w:color w:val="000000" w:themeColor="text1"/>
          <w:sz w:val="20"/>
          <w:szCs w:val="20"/>
        </w:rPr>
      </w:pPr>
      <w:r w:rsidRPr="00641AB1">
        <w:rPr>
          <w:b/>
          <w:bCs/>
          <w:color w:val="000000" w:themeColor="text1"/>
          <w:sz w:val="20"/>
          <w:szCs w:val="20"/>
        </w:rPr>
        <w:t xml:space="preserve">Prof. Dr. P. </w:t>
      </w:r>
      <w:proofErr w:type="spellStart"/>
      <w:r w:rsidRPr="00641AB1">
        <w:rPr>
          <w:b/>
          <w:bCs/>
          <w:color w:val="000000" w:themeColor="text1"/>
          <w:sz w:val="20"/>
          <w:szCs w:val="20"/>
        </w:rPr>
        <w:t>Nawroth</w:t>
      </w:r>
      <w:proofErr w:type="spellEnd"/>
    </w:p>
    <w:p w:rsidR="00727D84" w:rsidRPr="00641AB1" w:rsidRDefault="00727D84" w:rsidP="00727D84">
      <w:pPr>
        <w:pBdr>
          <w:top w:val="single" w:sz="4" w:space="1" w:color="auto"/>
          <w:left w:val="single" w:sz="4" w:space="4" w:color="auto"/>
          <w:bottom w:val="single" w:sz="4" w:space="1" w:color="auto"/>
          <w:right w:val="single" w:sz="4" w:space="4" w:color="auto"/>
        </w:pBdr>
        <w:rPr>
          <w:color w:val="000000" w:themeColor="text1"/>
          <w:sz w:val="20"/>
          <w:szCs w:val="20"/>
        </w:rPr>
      </w:pPr>
      <w:r w:rsidRPr="00641AB1">
        <w:rPr>
          <w:color w:val="000000" w:themeColor="text1"/>
          <w:sz w:val="20"/>
          <w:szCs w:val="20"/>
        </w:rPr>
        <w:t xml:space="preserve">Sachverständiger bei der Anhörung des </w:t>
      </w:r>
      <w:r>
        <w:rPr>
          <w:color w:val="000000" w:themeColor="text1"/>
          <w:sz w:val="20"/>
          <w:szCs w:val="20"/>
        </w:rPr>
        <w:t xml:space="preserve">Ernährungs- und </w:t>
      </w:r>
      <w:r w:rsidRPr="00641AB1">
        <w:rPr>
          <w:color w:val="000000" w:themeColor="text1"/>
          <w:sz w:val="20"/>
          <w:szCs w:val="20"/>
        </w:rPr>
        <w:t>Landwirtschaftsausschusses</w:t>
      </w:r>
      <w:r>
        <w:rPr>
          <w:color w:val="000000" w:themeColor="text1"/>
          <w:sz w:val="20"/>
          <w:szCs w:val="20"/>
        </w:rPr>
        <w:t>, 24.6. 2019</w:t>
      </w:r>
    </w:p>
    <w:p w:rsidR="00727D84" w:rsidRDefault="00727D84" w:rsidP="00727D84">
      <w:pPr>
        <w:rPr>
          <w:rFonts w:ascii="Comic Sans MS" w:hAnsi="Comic Sans MS"/>
          <w:color w:val="000000" w:themeColor="text1"/>
        </w:rPr>
      </w:pPr>
    </w:p>
    <w:p w:rsidR="00727D84" w:rsidRPr="00727D84" w:rsidRDefault="00727D84" w:rsidP="00727D84">
      <w:pPr>
        <w:keepNext/>
        <w:framePr w:dropCap="drop" w:lines="3" w:wrap="around" w:vAnchor="text" w:hAnchor="text"/>
        <w:spacing w:line="1003" w:lineRule="exact"/>
        <w:textAlignment w:val="baseline"/>
        <w:rPr>
          <w:rFonts w:ascii="Comic Sans MS" w:hAnsi="Comic Sans MS"/>
          <w:color w:val="000000" w:themeColor="text1"/>
          <w:position w:val="-21"/>
          <w:sz w:val="22"/>
          <w:szCs w:val="22"/>
        </w:rPr>
      </w:pPr>
      <w:r w:rsidRPr="00650F1C">
        <w:rPr>
          <w:rFonts w:ascii="Comic Sans MS" w:hAnsi="Comic Sans MS"/>
          <w:color w:val="000000" w:themeColor="text1"/>
          <w:position w:val="-21"/>
          <w:sz w:val="127"/>
        </w:rPr>
        <w:t>A:</w:t>
      </w:r>
    </w:p>
    <w:p w:rsidR="00727D84" w:rsidRPr="00727D84" w:rsidRDefault="00727D84" w:rsidP="00727D84">
      <w:pPr>
        <w:rPr>
          <w:rFonts w:ascii="Comic Sans MS" w:hAnsi="Comic Sans MS"/>
          <w:color w:val="000000" w:themeColor="text1"/>
          <w:sz w:val="22"/>
          <w:szCs w:val="22"/>
        </w:rPr>
      </w:pPr>
      <w:r w:rsidRPr="00727D84">
        <w:rPr>
          <w:rFonts w:ascii="Comic Sans MS" w:hAnsi="Comic Sans MS"/>
          <w:color w:val="000000" w:themeColor="text1"/>
          <w:sz w:val="22"/>
          <w:szCs w:val="22"/>
        </w:rPr>
        <w:t xml:space="preserve">„Gefahren sind nicht nur das Gewicht (sowohl Über- als auch Untergewicht) </w:t>
      </w:r>
      <w:r>
        <w:rPr>
          <w:rFonts w:ascii="Comic Sans MS" w:hAnsi="Comic Sans MS"/>
          <w:color w:val="000000" w:themeColor="text1"/>
          <w:sz w:val="22"/>
          <w:szCs w:val="22"/>
        </w:rPr>
        <w:t>betreffende</w:t>
      </w:r>
      <w:r w:rsidRPr="00727D84">
        <w:rPr>
          <w:rFonts w:ascii="Comic Sans MS" w:hAnsi="Comic Sans MS"/>
          <w:color w:val="000000" w:themeColor="text1"/>
          <w:sz w:val="22"/>
          <w:szCs w:val="22"/>
        </w:rPr>
        <w:t xml:space="preserve"> Störungen, sondern psychische Folgen. Denn Zufuhr von Fetten halbiert die Traurigkeit bei einem traurigen Film. Man darf sozial benachteiligte Menschen, die durch Essen psychosoziale Stressfaktoren kompensieren, nicht durch Entzug der Kompensationsmechanismen benachteiligen! Es muss verhindert werden, dass Kennzeichnung von Lebensmitteln zu einer Bewertung in gut und schlecht führt, da für übergewichtige ganz andere Regeln gelten als für mangelernährte Menschen …</w:t>
      </w:r>
    </w:p>
    <w:p w:rsidR="00727D84" w:rsidRPr="00727D84" w:rsidRDefault="00727D84" w:rsidP="00727D84">
      <w:pPr>
        <w:rPr>
          <w:rFonts w:ascii="Comic Sans MS" w:hAnsi="Comic Sans MS"/>
          <w:color w:val="000000" w:themeColor="text1"/>
          <w:sz w:val="22"/>
          <w:szCs w:val="22"/>
        </w:rPr>
      </w:pPr>
      <w:r w:rsidRPr="00727D84">
        <w:rPr>
          <w:rFonts w:ascii="Comic Sans MS" w:hAnsi="Comic Sans MS"/>
          <w:color w:val="000000" w:themeColor="text1"/>
          <w:sz w:val="22"/>
          <w:szCs w:val="22"/>
        </w:rPr>
        <w:t>Wenn Politiker sich nicht um das kümmern, was von ihnen erwartet wird, wie soziale Gerechtigkeit, Teilhabe an unserer Gesellschaft, Bildung, Familienstruktur, aber vielmehr meinen, Ärzte könnten mit Ernährungsratschlägen das Versagen der Politik ausgleichen, irren sie und verlieren Glaubwürdigkeit …“</w:t>
      </w:r>
    </w:p>
    <w:p w:rsidR="00727D84" w:rsidRDefault="00D93ED5" w:rsidP="00727D84">
      <w:pPr>
        <w:rPr>
          <w:color w:val="000000" w:themeColor="text1"/>
        </w:rPr>
      </w:pPr>
      <w:r>
        <w:rPr>
          <w:color w:val="000000" w:themeColor="text1"/>
        </w:rPr>
        <w:pict>
          <v:rect id="_x0000_i1025" style="width:481.9pt;height:1.5pt" o:hralign="center" o:hrstd="t" o:hrnoshade="t" o:hr="t" fillcolor="#2e74b5 [2404]" stroked="f"/>
        </w:pict>
      </w:r>
    </w:p>
    <w:p w:rsidR="00727D84" w:rsidRPr="00641AB1" w:rsidRDefault="00727D84" w:rsidP="00727D84">
      <w:pPr>
        <w:pBdr>
          <w:top w:val="single" w:sz="4" w:space="1" w:color="auto"/>
          <w:left w:val="single" w:sz="4" w:space="4" w:color="auto"/>
          <w:bottom w:val="single" w:sz="4" w:space="1" w:color="auto"/>
          <w:right w:val="single" w:sz="4" w:space="4" w:color="auto"/>
        </w:pBdr>
        <w:spacing w:before="240"/>
        <w:rPr>
          <w:b/>
          <w:bCs/>
          <w:color w:val="000000" w:themeColor="text1"/>
          <w:sz w:val="20"/>
          <w:szCs w:val="20"/>
        </w:rPr>
      </w:pPr>
      <w:r>
        <w:rPr>
          <w:b/>
          <w:bCs/>
          <w:color w:val="000000" w:themeColor="text1"/>
          <w:sz w:val="20"/>
          <w:szCs w:val="20"/>
        </w:rPr>
        <w:t>Dr. G. Koch</w:t>
      </w:r>
    </w:p>
    <w:p w:rsidR="00727D84" w:rsidRPr="00641AB1" w:rsidRDefault="00727D84" w:rsidP="00727D84">
      <w:pPr>
        <w:pBdr>
          <w:top w:val="single" w:sz="4" w:space="1" w:color="auto"/>
          <w:left w:val="single" w:sz="4" w:space="4" w:color="auto"/>
          <w:bottom w:val="single" w:sz="4" w:space="1" w:color="auto"/>
          <w:right w:val="single" w:sz="4" w:space="4" w:color="auto"/>
        </w:pBdr>
        <w:rPr>
          <w:color w:val="000000" w:themeColor="text1"/>
          <w:sz w:val="20"/>
          <w:szCs w:val="20"/>
        </w:rPr>
      </w:pPr>
      <w:r w:rsidRPr="00641AB1">
        <w:rPr>
          <w:color w:val="000000" w:themeColor="text1"/>
          <w:sz w:val="20"/>
          <w:szCs w:val="20"/>
        </w:rPr>
        <w:t xml:space="preserve">Sachverständiger bei der Anhörung des </w:t>
      </w:r>
      <w:r>
        <w:rPr>
          <w:color w:val="000000" w:themeColor="text1"/>
          <w:sz w:val="20"/>
          <w:szCs w:val="20"/>
        </w:rPr>
        <w:t xml:space="preserve">Ernährungs- und </w:t>
      </w:r>
      <w:r w:rsidRPr="00641AB1">
        <w:rPr>
          <w:color w:val="000000" w:themeColor="text1"/>
          <w:sz w:val="20"/>
          <w:szCs w:val="20"/>
        </w:rPr>
        <w:t>Landwirtschaftsausschusses</w:t>
      </w:r>
      <w:r>
        <w:rPr>
          <w:color w:val="000000" w:themeColor="text1"/>
          <w:sz w:val="20"/>
          <w:szCs w:val="20"/>
        </w:rPr>
        <w:t>, 24.6. 2019</w:t>
      </w:r>
    </w:p>
    <w:p w:rsidR="00727D84" w:rsidRPr="00D85102" w:rsidRDefault="00727D84" w:rsidP="00727D84">
      <w:pPr>
        <w:rPr>
          <w:color w:val="000000" w:themeColor="text1"/>
        </w:rPr>
      </w:pPr>
    </w:p>
    <w:p w:rsidR="00727D84" w:rsidRPr="00727D84" w:rsidRDefault="00727D84" w:rsidP="00727D84">
      <w:pPr>
        <w:keepNext/>
        <w:framePr w:dropCap="drop" w:lines="3" w:wrap="around" w:vAnchor="text" w:hAnchor="text"/>
        <w:spacing w:line="1003" w:lineRule="exact"/>
        <w:textAlignment w:val="baseline"/>
        <w:rPr>
          <w:rFonts w:ascii="Comic Sans MS" w:hAnsi="Comic Sans MS"/>
          <w:color w:val="000000" w:themeColor="text1"/>
          <w:position w:val="-20"/>
          <w:sz w:val="22"/>
          <w:szCs w:val="22"/>
        </w:rPr>
      </w:pPr>
      <w:r w:rsidRPr="00650F1C">
        <w:rPr>
          <w:rFonts w:ascii="Comic Sans MS" w:hAnsi="Comic Sans MS"/>
          <w:color w:val="000000" w:themeColor="text1"/>
          <w:position w:val="-20"/>
          <w:sz w:val="119"/>
        </w:rPr>
        <w:t>B:</w:t>
      </w:r>
    </w:p>
    <w:p w:rsidR="00727D84" w:rsidRPr="00727D84" w:rsidRDefault="00727D84" w:rsidP="00727D84">
      <w:pPr>
        <w:rPr>
          <w:rFonts w:ascii="Comic Sans MS" w:hAnsi="Comic Sans MS"/>
          <w:color w:val="000000" w:themeColor="text1"/>
          <w:sz w:val="22"/>
          <w:szCs w:val="22"/>
        </w:rPr>
      </w:pPr>
      <w:r w:rsidRPr="00727D84">
        <w:rPr>
          <w:rFonts w:ascii="Comic Sans MS" w:hAnsi="Comic Sans MS"/>
          <w:color w:val="000000" w:themeColor="text1"/>
          <w:sz w:val="22"/>
          <w:szCs w:val="22"/>
        </w:rPr>
        <w:t xml:space="preserve">„Maßnahmen zur Bildungsförderung (insbesondere der Vermittlung von Ernährungs- und Gesundheitskompetenz) sind absolut sinnvoll und notwendig. Erwerb von Wissen und Bildung fördert aktives Bewegungs- und ausgewogeneres Essverhalten. Die Eltern bzw. Angehörigen der Kinder sind in solche Maßnahmen einzubeziehen, weil sie in ihrer Vorbildfunktion unverzichtbar sind und das Verhalten ihrer Kinder insbesondere in der frühen Kindheit prägen. Das Risiko für Übergewicht und Adipositas im Kindes- und Jugendalter ist in Familien mit </w:t>
      </w:r>
      <w:proofErr w:type="gramStart"/>
      <w:r w:rsidRPr="00727D84">
        <w:rPr>
          <w:rFonts w:ascii="Comic Sans MS" w:hAnsi="Comic Sans MS"/>
          <w:color w:val="000000" w:themeColor="text1"/>
          <w:sz w:val="22"/>
          <w:szCs w:val="22"/>
        </w:rPr>
        <w:t>geringem sozioökonomischen</w:t>
      </w:r>
      <w:proofErr w:type="gramEnd"/>
      <w:r w:rsidRPr="00727D84">
        <w:rPr>
          <w:rFonts w:ascii="Comic Sans MS" w:hAnsi="Comic Sans MS"/>
          <w:color w:val="000000" w:themeColor="text1"/>
          <w:sz w:val="22"/>
          <w:szCs w:val="22"/>
        </w:rPr>
        <w:t xml:space="preserve"> Status am höchsten …</w:t>
      </w:r>
    </w:p>
    <w:p w:rsidR="00727D84" w:rsidRPr="00727D84" w:rsidRDefault="00727D84" w:rsidP="00727D84">
      <w:pPr>
        <w:rPr>
          <w:rFonts w:ascii="Comic Sans MS" w:hAnsi="Comic Sans MS"/>
          <w:color w:val="000000" w:themeColor="text1"/>
          <w:sz w:val="22"/>
          <w:szCs w:val="22"/>
        </w:rPr>
      </w:pPr>
      <w:r w:rsidRPr="00727D84">
        <w:rPr>
          <w:rFonts w:ascii="Comic Sans MS" w:hAnsi="Comic Sans MS"/>
          <w:color w:val="000000" w:themeColor="text1"/>
          <w:sz w:val="22"/>
          <w:szCs w:val="22"/>
        </w:rPr>
        <w:t>Gezielte Maßnahmen der Bildungsförderung können diese betroffenen Familien dabei unterstützen, die erforderlichen Veränderungen ihres Ernährungsverhaltens und Lebensstils herbeizuführen. Die Erreichbarkeit dieser Zielgruppen bleibt eine Herausforderung für die Gesundheitsförderung und bedarf der Entwicklung und Erprobung neuer und adäquater Kommunikationsinstrumente und –</w:t>
      </w:r>
      <w:proofErr w:type="spellStart"/>
      <w:r w:rsidRPr="00727D84">
        <w:rPr>
          <w:rFonts w:ascii="Comic Sans MS" w:hAnsi="Comic Sans MS"/>
          <w:color w:val="000000" w:themeColor="text1"/>
          <w:sz w:val="22"/>
          <w:szCs w:val="22"/>
        </w:rPr>
        <w:t>kanäle</w:t>
      </w:r>
      <w:proofErr w:type="spellEnd"/>
      <w:r w:rsidRPr="00727D84">
        <w:rPr>
          <w:rFonts w:ascii="Comic Sans MS" w:hAnsi="Comic Sans MS"/>
          <w:color w:val="000000" w:themeColor="text1"/>
          <w:sz w:val="22"/>
          <w:szCs w:val="22"/>
        </w:rPr>
        <w:t xml:space="preserve">. Alleinerziehende sind in der Wahrnehmung dieser Funktion als besonders benachteiligte und zu unterstützende Risikogruppe anzusehen, ebenso wie Kinder aus Familien mit Migrationshintergrund“. </w:t>
      </w:r>
    </w:p>
    <w:p w:rsidR="003C7309" w:rsidRPr="009B3FF5" w:rsidRDefault="0006374D" w:rsidP="003862BC">
      <w:pPr>
        <w:pStyle w:val="Textkrper"/>
        <w:rPr>
          <w:sz w:val="2"/>
          <w:szCs w:val="2"/>
        </w:rPr>
      </w:pPr>
      <w:r>
        <w:rPr>
          <w:noProof/>
          <w:lang w:eastAsia="de-DE"/>
        </w:rPr>
        <mc:AlternateContent>
          <mc:Choice Requires="wps">
            <w:drawing>
              <wp:anchor distT="0" distB="45720" distL="114300" distR="114300" simplePos="0" relativeHeight="251693056" behindDoc="0" locked="0" layoutInCell="1" allowOverlap="1" wp14:anchorId="50763247" wp14:editId="6173B4D1">
                <wp:simplePos x="0" y="0"/>
                <wp:positionH relativeFrom="column">
                  <wp:posOffset>38100</wp:posOffset>
                </wp:positionH>
                <wp:positionV relativeFrom="paragraph">
                  <wp:posOffset>351790</wp:posOffset>
                </wp:positionV>
                <wp:extent cx="6120000" cy="1404620"/>
                <wp:effectExtent l="0" t="0" r="14605" b="10160"/>
                <wp:wrapTopAndBottom/>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06374D" w:rsidRPr="003862BC" w:rsidRDefault="0006374D" w:rsidP="00727D84">
                            <w:pPr>
                              <w:pStyle w:val="Rubriken"/>
                              <w:rPr>
                                <w:rStyle w:val="TextkrperZchn"/>
                              </w:rPr>
                            </w:pPr>
                            <w:r>
                              <w:rPr>
                                <w:rStyle w:val="TextkrperZchn"/>
                              </w:rPr>
                              <w:t>Aufgabe</w:t>
                            </w:r>
                          </w:p>
                          <w:p w:rsidR="0006374D" w:rsidRPr="00727D84" w:rsidRDefault="00727D84" w:rsidP="00727D84">
                            <w:pPr>
                              <w:pStyle w:val="Textkrper"/>
                            </w:pPr>
                            <w:r w:rsidRPr="00727D84">
                              <w:t>Stellen Sie sich vor, Sie sollten eine Stellungnahme im Deutschen Bundestag zur Frage abgeben, ob man – um ein gesünderes essverhalten zu erreichen – die Ernährungsberatung ausbauen sollte – oder ob man solche Interventionsversuche via Ernährungsbildung nicht besser sein lassen sollte. Reflektieren Sie bitte Ihre eigenen Einstellungen hierzu, erörtern Sie die hier widergegebenen kurzen Statements von Wissenschaftlern und schreiben Sie am Ende einen Tweet (max. 280 Zeichen), in dem Sie Ihre eigene Position und die wichtigsten Argumente beschreiben.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63247" id="_x0000_s1029" type="#_x0000_t202" style="position:absolute;margin-left:3pt;margin-top:27.7pt;width:481.9pt;height:110.6pt;z-index:25169305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" fillcolor="#bfd9f2" strokecolor="#008acc">
                <v:textbox style="mso-fit-shape-to-text:t">
                  <w:txbxContent>
                    <w:p w:rsidR="0006374D" w:rsidRPr="003862BC" w:rsidRDefault="0006374D" w:rsidP="00727D84">
                      <w:pPr>
                        <w:pStyle w:val="Rubriken"/>
                        <w:rPr>
                          <w:rStyle w:val="TextkrperZchn"/>
                        </w:rPr>
                      </w:pPr>
                      <w:r>
                        <w:rPr>
                          <w:rStyle w:val="TextkrperZchn"/>
                        </w:rPr>
                        <w:t>Aufgabe</w:t>
                      </w:r>
                    </w:p>
                    <w:p w:rsidR="0006374D" w:rsidRPr="00727D84" w:rsidRDefault="00727D84" w:rsidP="00727D84">
                      <w:pPr>
                        <w:pStyle w:val="Textkrper"/>
                      </w:pPr>
                      <w:r w:rsidRPr="00727D84">
                        <w:t xml:space="preserve">Stellen Sie sich vor, Sie sollten eine Stellungnahme im Deutschen Bundestag zur Frage abgeben, ob man – um ein gesünderes essverhalten zu erreichen </w:t>
                      </w:r>
                      <w:r w:rsidRPr="00727D84">
                        <w:t>–</w:t>
                      </w:r>
                      <w:r w:rsidRPr="00727D84">
                        <w:t xml:space="preserve"> die Ernährungsberatung ausbauen sollte </w:t>
                      </w:r>
                      <w:r w:rsidRPr="00727D84">
                        <w:t>–</w:t>
                      </w:r>
                      <w:r w:rsidRPr="00727D84">
                        <w:t xml:space="preserve"> </w:t>
                      </w:r>
                      <w:r w:rsidRPr="00727D84">
                        <w:t>oder</w:t>
                      </w:r>
                      <w:bookmarkStart w:id="2" w:name="_GoBack"/>
                      <w:bookmarkEnd w:id="2"/>
                      <w:r w:rsidRPr="00727D84">
                        <w:t xml:space="preserve"> ob man solche Interventionsversuche via Ernährungsbildung nicht besser sein lassen sollte. Reflektieren Sie bitte Ihre eigenen Einstellungen hierzu, erörtern Sie die hier widergegebenen kurzen Statements von Wissenschaftlern und schreiben Sie am Ende einen Tweet (max. 280 Zeichen), in dem Sie Ihre eigene Position und die wichtigsten Argumente beschreiben.</w:t>
                      </w:r>
                    </w:p>
                  </w:txbxContent>
                </v:textbox>
                <w10:wrap type="topAndBottom"/>
              </v:shape>
            </w:pict>
          </mc:Fallback>
        </mc:AlternateContent>
      </w:r>
    </w:p>
    <w:sectPr w:rsidR="003C7309" w:rsidRPr="009B3FF5" w:rsidSect="0079763B">
      <w:footerReference w:type="default" r:id="rId25"/>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D93ED5">
    <w:pPr>
      <w:pStyle w:val="Fuzeile"/>
    </w:pPr>
    <w:r>
      <w:rPr>
        <w:noProof/>
      </w:rPr>
      <w:tab/>
    </w:r>
    <w:r w:rsidR="00FE4C9C">
      <w:fldChar w:fldCharType="begin"/>
    </w:r>
    <w:r w:rsidR="00FE4C9C">
      <w:instrText xml:space="preserve"> PAGE  \* ArabicDash  \* MERGEFORMAT </w:instrText>
    </w:r>
    <w:r w:rsidR="00FE4C9C">
      <w:fldChar w:fldCharType="separate"/>
    </w:r>
    <w:r>
      <w:rPr>
        <w:noProof/>
      </w:rPr>
      <w:t>- 5 -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444AD6" w:rsidRDefault="00444AD6" w:rsidP="00444AD6">
      <w:pPr>
        <w:pStyle w:val="Funotentext"/>
      </w:pPr>
      <w:r>
        <w:rPr>
          <w:rStyle w:val="Funotenzeichen"/>
        </w:rPr>
        <w:footnoteRef/>
      </w:r>
      <w:r>
        <w:t xml:space="preserve"> Eine größere Meta-Studie kommt zu dem Schluss, dass mindestens 60% unseres Essverhaltens genetisch bestimmt ist. Vgl. J. Hebebrand: </w:t>
      </w:r>
      <w:hyperlink r:id="rId1" w:history="1">
        <w:r w:rsidRPr="00BE2747">
          <w:rPr>
            <w:rStyle w:val="Hyperlink"/>
          </w:rPr>
          <w:t>Gene – die wahren Dickmacher</w:t>
        </w:r>
      </w:hyperlink>
      <w:r>
        <w:t xml:space="preserve"> (2003).</w:t>
      </w:r>
    </w:p>
  </w:footnote>
  <w:footnote w:id="2">
    <w:p w:rsidR="00444AD6" w:rsidRDefault="00444AD6" w:rsidP="00444AD6">
      <w:pPr>
        <w:pStyle w:val="Funotentext"/>
      </w:pPr>
      <w:r>
        <w:rPr>
          <w:rStyle w:val="Funotenzeichen"/>
        </w:rPr>
        <w:footnoteRef/>
      </w:r>
      <w:r>
        <w:t xml:space="preserve"> Vgl. Zentrum der Gesundheit/Carina Rehberg: Stress macht dick (24.1.2020).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3"/>
  </w:num>
  <w:num w:numId="13">
    <w:abstractNumId w:val="10"/>
  </w:num>
  <w:num w:numId="14">
    <w:abstractNumId w:val="14"/>
  </w:num>
  <w:num w:numId="15">
    <w:abstractNumId w:val="11"/>
  </w:num>
  <w:num w:numId="16">
    <w:abstractNumId w:val="16"/>
  </w:num>
  <w:num w:numId="17">
    <w:abstractNumId w:val="12"/>
  </w:num>
  <w:num w:numId="18">
    <w:abstractNumId w:val="22"/>
  </w:num>
  <w:num w:numId="19">
    <w:abstractNumId w:val="19"/>
  </w:num>
  <w:num w:numId="20">
    <w:abstractNumId w:val="15"/>
  </w:num>
  <w:num w:numId="21">
    <w:abstractNumId w:val="20"/>
  </w:num>
  <w:num w:numId="22">
    <w:abstractNumId w:val="13"/>
  </w:num>
  <w:num w:numId="23">
    <w:abstractNumId w:val="18"/>
  </w:num>
  <w:num w:numId="24">
    <w:abstractNumId w:val="17"/>
  </w:num>
  <w:num w:numId="25">
    <w:abstractNumId w:val="21"/>
  </w:num>
  <w:num w:numId="26">
    <w:abstractNumId w:val="2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126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374D"/>
    <w:rsid w:val="000867BF"/>
    <w:rsid w:val="000B28D6"/>
    <w:rsid w:val="000F2AF5"/>
    <w:rsid w:val="000F40E4"/>
    <w:rsid w:val="00104AE8"/>
    <w:rsid w:val="00106E8D"/>
    <w:rsid w:val="00117571"/>
    <w:rsid w:val="00131F16"/>
    <w:rsid w:val="00140F45"/>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B64D7"/>
    <w:rsid w:val="003C7309"/>
    <w:rsid w:val="003E6A68"/>
    <w:rsid w:val="00411491"/>
    <w:rsid w:val="00444AD6"/>
    <w:rsid w:val="00490521"/>
    <w:rsid w:val="00494DFD"/>
    <w:rsid w:val="004B5030"/>
    <w:rsid w:val="004C0B0E"/>
    <w:rsid w:val="004D026E"/>
    <w:rsid w:val="005047B2"/>
    <w:rsid w:val="00520C4B"/>
    <w:rsid w:val="005440CF"/>
    <w:rsid w:val="0055329C"/>
    <w:rsid w:val="00567FC3"/>
    <w:rsid w:val="005B5912"/>
    <w:rsid w:val="005C54EA"/>
    <w:rsid w:val="005E0E83"/>
    <w:rsid w:val="005F4DAA"/>
    <w:rsid w:val="00606ACA"/>
    <w:rsid w:val="0061090D"/>
    <w:rsid w:val="00615863"/>
    <w:rsid w:val="00641717"/>
    <w:rsid w:val="006431A6"/>
    <w:rsid w:val="00645B28"/>
    <w:rsid w:val="006639B8"/>
    <w:rsid w:val="0067244F"/>
    <w:rsid w:val="006B7C47"/>
    <w:rsid w:val="006D45A4"/>
    <w:rsid w:val="007228E9"/>
    <w:rsid w:val="00727D84"/>
    <w:rsid w:val="00744DE9"/>
    <w:rsid w:val="0079763B"/>
    <w:rsid w:val="007A1550"/>
    <w:rsid w:val="007B683F"/>
    <w:rsid w:val="007E41C7"/>
    <w:rsid w:val="007E6565"/>
    <w:rsid w:val="007E78B2"/>
    <w:rsid w:val="008419C0"/>
    <w:rsid w:val="0084238C"/>
    <w:rsid w:val="0086350F"/>
    <w:rsid w:val="0087023A"/>
    <w:rsid w:val="00891E6A"/>
    <w:rsid w:val="008C793F"/>
    <w:rsid w:val="008E74FD"/>
    <w:rsid w:val="008F51C0"/>
    <w:rsid w:val="00926DA4"/>
    <w:rsid w:val="009664B4"/>
    <w:rsid w:val="00970051"/>
    <w:rsid w:val="00972AAA"/>
    <w:rsid w:val="009B3FF5"/>
    <w:rsid w:val="009E7E67"/>
    <w:rsid w:val="00A34FD0"/>
    <w:rsid w:val="00A357C1"/>
    <w:rsid w:val="00A43AB9"/>
    <w:rsid w:val="00A53E41"/>
    <w:rsid w:val="00A857C0"/>
    <w:rsid w:val="00AA1A4E"/>
    <w:rsid w:val="00AA4607"/>
    <w:rsid w:val="00AC3CC1"/>
    <w:rsid w:val="00AD735F"/>
    <w:rsid w:val="00B05721"/>
    <w:rsid w:val="00B11D6D"/>
    <w:rsid w:val="00B5782C"/>
    <w:rsid w:val="00B70EB4"/>
    <w:rsid w:val="00BD17F2"/>
    <w:rsid w:val="00BD63C7"/>
    <w:rsid w:val="00BF0D99"/>
    <w:rsid w:val="00BF2140"/>
    <w:rsid w:val="00BF5221"/>
    <w:rsid w:val="00BF5A06"/>
    <w:rsid w:val="00C11E37"/>
    <w:rsid w:val="00C270D5"/>
    <w:rsid w:val="00C54B4B"/>
    <w:rsid w:val="00C5520C"/>
    <w:rsid w:val="00C57574"/>
    <w:rsid w:val="00C76D59"/>
    <w:rsid w:val="00C850C9"/>
    <w:rsid w:val="00C90BDA"/>
    <w:rsid w:val="00C92BE8"/>
    <w:rsid w:val="00CE413C"/>
    <w:rsid w:val="00CF4DA0"/>
    <w:rsid w:val="00CF6DA3"/>
    <w:rsid w:val="00D01297"/>
    <w:rsid w:val="00D34A70"/>
    <w:rsid w:val="00D65791"/>
    <w:rsid w:val="00D7534A"/>
    <w:rsid w:val="00D93ED5"/>
    <w:rsid w:val="00DB7BAE"/>
    <w:rsid w:val="00DD4EA0"/>
    <w:rsid w:val="00E75752"/>
    <w:rsid w:val="00E941A7"/>
    <w:rsid w:val="00EA05E0"/>
    <w:rsid w:val="00EA270F"/>
    <w:rsid w:val="00EE44CB"/>
    <w:rsid w:val="00F337BA"/>
    <w:rsid w:val="00F609E1"/>
    <w:rsid w:val="00F65B78"/>
    <w:rsid w:val="00F65EAC"/>
    <w:rsid w:val="00F84D69"/>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3C7309"/>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3C7309"/>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bundestag.de/resource/blob/647854/cd89c4cc0fa54739f3243a177495d8aa/Stellungnahme_Koch-data.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undestag.de/resource/blob/647850/e8d35746a948eaf1dcb8325f78c1fc84/Stellungnahme_Nawroth-data.pdf" TargetMode="External"/><Relationship Id="rId20" Type="http://schemas.openxmlformats.org/officeDocument/2006/relationships/hyperlink" Target="https://shop.welthau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gesundheitsforschung-bmbf.de/de/gene-die-wahren-dickmacher-1703.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47F0"/>
    <w:rsid w:val="002A50DC"/>
    <w:rsid w:val="003D3A87"/>
    <w:rsid w:val="005B7098"/>
    <w:rsid w:val="009B0A0D"/>
    <w:rsid w:val="00A2123E"/>
    <w:rsid w:val="00AF2A9E"/>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E47F0"/>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EECF5-527A-474E-A023-8B589844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1330</Words>
  <Characters>8385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7</cp:revision>
  <cp:lastPrinted>2021-02-25T10:50:00Z</cp:lastPrinted>
  <dcterms:created xsi:type="dcterms:W3CDTF">2021-02-24T14:41:00Z</dcterms:created>
  <dcterms:modified xsi:type="dcterms:W3CDTF">2021-03-03T10:34:00Z</dcterms:modified>
</cp:coreProperties>
</file>