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r>
                        <w:rPr>
                          <w:b/>
                          <w:sz w:val="12"/>
                          <w:szCs w:val="12"/>
                        </w:rPr>
                        <w:t>Jiroe/unsplash</w:t>
                      </w:r>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
        </w:rPr>
        <w:t>neu denken</w:t>
      </w:r>
      <w:r w:rsidRPr="00F30AE7">
        <w:t>.</w:t>
      </w:r>
    </w:p>
    <w:p w:rsidR="00BF2140" w:rsidRPr="00EA7228" w:rsidRDefault="00BF2140" w:rsidP="00EE02E8">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E851D3">
            <w:trPr>
              <w:trHeight w:val="936"/>
            </w:trPr>
            <w:tc>
              <w:tcPr>
                <w:tcW w:w="2410" w:type="dxa"/>
                <w:gridSpan w:val="2"/>
                <w:shd w:val="clear" w:color="auto" w:fill="FFF2CC" w:themeFill="accent4" w:themeFillTint="33"/>
                <w:vAlign w:val="center"/>
              </w:tcPr>
              <w:p w:rsidR="00A53E41" w:rsidRPr="00A43AB9" w:rsidRDefault="00A53E41" w:rsidP="00E851D3">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E851D3">
                  <w:rPr>
                    <w:color w:val="auto"/>
                  </w:rPr>
                  <w:t>10</w:t>
                </w:r>
                <w:r w:rsidRPr="00A43AB9">
                  <w:rPr>
                    <w:b w:val="0"/>
                  </w:rPr>
                  <w:t>]</w:t>
                </w:r>
              </w:p>
            </w:tc>
            <w:tc>
              <w:tcPr>
                <w:tcW w:w="7230" w:type="dxa"/>
                <w:gridSpan w:val="5"/>
                <w:shd w:val="clear" w:color="auto" w:fill="FFF2CC" w:themeFill="accent4" w:themeFillTint="33"/>
                <w:vAlign w:val="center"/>
              </w:tcPr>
              <w:p w:rsidR="00A53E41" w:rsidRPr="00A43AB9" w:rsidRDefault="00E851D3" w:rsidP="00A53E41">
                <w:pPr>
                  <w:pStyle w:val="Head1"/>
                  <w:rPr>
                    <w:iCs/>
                    <w:color w:val="0070C0"/>
                  </w:rPr>
                </w:pPr>
                <w:r w:rsidRPr="00E851D3">
                  <w:t>Weltweiter Ernährungswandel</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A43AB9" w:rsidP="00E851D3">
                <w:pPr>
                  <w:pStyle w:val="CC-Lizenz-Text"/>
                  <w:spacing w:after="120"/>
                  <w:ind w:right="140"/>
                  <w:rPr>
                    <w:rFonts w:ascii="Calibri" w:hAnsi="Calibri"/>
                    <w:b w:val="0"/>
                    <w:color w:val="auto"/>
                    <w:sz w:val="24"/>
                    <w:szCs w:val="24"/>
                  </w:rPr>
                </w:pPr>
                <w:r w:rsidRPr="000552C3">
                  <w:rPr>
                    <w:rStyle w:val="schwarzZchn"/>
                    <w:b w:val="0"/>
                    <w:szCs w:val="24"/>
                  </w:rPr>
                  <w:t>G</w:t>
                </w:r>
                <w:r w:rsidR="00E851D3">
                  <w:rPr>
                    <w:rStyle w:val="schwarzZchn"/>
                    <w:b w:val="0"/>
                    <w:szCs w:val="24"/>
                  </w:rPr>
                  <w:t>Y/GE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E851D3" w:rsidP="000552C3">
                <w:pPr>
                  <w:pStyle w:val="CC-Lizenz-Text"/>
                  <w:spacing w:after="120"/>
                  <w:ind w:right="140"/>
                  <w:rPr>
                    <w:rFonts w:ascii="Calibri" w:hAnsi="Calibri"/>
                    <w:b w:val="0"/>
                    <w:color w:val="auto"/>
                    <w:sz w:val="24"/>
                    <w:szCs w:val="24"/>
                  </w:rPr>
                </w:pPr>
                <w:r>
                  <w:rPr>
                    <w:rStyle w:val="schwarzZchn"/>
                    <w:b w:val="0"/>
                    <w:szCs w:val="24"/>
                  </w:rPr>
                  <w:t>Sek. II – Q-Phase</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E851D3" w:rsidP="000552C3">
                <w:pPr>
                  <w:pStyle w:val="CC-Lizenz-Text"/>
                  <w:spacing w:after="120"/>
                  <w:ind w:right="140"/>
                  <w:rPr>
                    <w:rFonts w:ascii="Calibri" w:hAnsi="Calibri"/>
                    <w:b w:val="0"/>
                    <w:color w:val="auto"/>
                    <w:sz w:val="24"/>
                    <w:szCs w:val="24"/>
                  </w:rPr>
                </w:pPr>
                <w:r>
                  <w:rPr>
                    <w:rStyle w:val="schwarzZchn"/>
                    <w:b w:val="0"/>
                    <w:szCs w:val="24"/>
                  </w:rPr>
                  <w:t>Geographie</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E851D3" w:rsidP="00E851D3">
                <w:pPr>
                  <w:pStyle w:val="CC-Lizenz-Text"/>
                  <w:spacing w:after="120"/>
                  <w:ind w:right="140"/>
                  <w:rPr>
                    <w:b w:val="0"/>
                    <w:color w:val="0563C1" w:themeColor="hyperlink"/>
                    <w:sz w:val="24"/>
                    <w:szCs w:val="24"/>
                    <w:u w:val="single"/>
                  </w:rPr>
                </w:pPr>
                <w:r>
                  <w:rPr>
                    <w:rStyle w:val="schwarzZchn"/>
                    <w:b w:val="0"/>
                    <w:szCs w:val="24"/>
                  </w:rPr>
                  <w:t>2</w:t>
                </w:r>
                <w:r w:rsidR="00A43AB9" w:rsidRPr="000552C3">
                  <w:rPr>
                    <w:rStyle w:val="schwarzZchn"/>
                    <w:b w:val="0"/>
                    <w:szCs w:val="24"/>
                  </w:rPr>
                  <w:t xml:space="preserve"> – </w:t>
                </w:r>
                <w:r>
                  <w:rPr>
                    <w:rStyle w:val="schwarzZchn"/>
                    <w:b w:val="0"/>
                    <w:szCs w:val="24"/>
                  </w:rPr>
                  <w:t>3</w:t>
                </w:r>
                <w:r w:rsidR="00A43AB9" w:rsidRPr="000552C3">
                  <w:rPr>
                    <w:rStyle w:val="schwarzZchn"/>
                    <w:b w:val="0"/>
                    <w:szCs w:val="24"/>
                  </w:rPr>
                  <w:t xml:space="preserve"> UStd</w:t>
                </w:r>
              </w:p>
            </w:tc>
          </w:tr>
          <w:tr w:rsidR="000552C3" w:rsidRPr="00A43AB9" w:rsidTr="00E851D3">
            <w:trPr>
              <w:gridBefore w:val="1"/>
              <w:gridAfter w:val="1"/>
              <w:wBefore w:w="30" w:type="dxa"/>
              <w:wAfter w:w="28" w:type="dxa"/>
              <w:trHeight w:val="1238"/>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0873AA">
                  <w:t xml:space="preserve"> können</w:t>
                </w:r>
              </w:p>
              <w:p w:rsidR="00E851D3" w:rsidRDefault="00E851D3" w:rsidP="00E851D3">
                <w:pPr>
                  <w:pStyle w:val="Liste1"/>
                </w:pPr>
                <w:r>
                  <w:t>Kennzeichen des globalen Ernährungswandels benennen;</w:t>
                </w:r>
              </w:p>
              <w:p w:rsidR="000552C3" w:rsidRPr="00A43AB9" w:rsidRDefault="00E851D3" w:rsidP="00E851D3">
                <w:pPr>
                  <w:pStyle w:val="Liste1"/>
                </w:pPr>
                <w:r>
                  <w:t>Ansatzpunkte für eine ökologisch und gesundheitlich nachhaltige Welternährung erörtern.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id w:val="-1066332485"/>
                    <w:placeholder>
                      <w:docPart w:val="325FC12210854AEBB6B24E879D239AA1"/>
                    </w:placeholder>
                    <w15:color w:val="000000"/>
                  </w:sdtPr>
                  <w:sdtEndPr>
                    <w:rPr>
                      <w:rFonts w:ascii="Comic Sans MS" w:hAnsi="Comic Sans MS"/>
                      <w:b w:val="0"/>
                      <w:bCs w:val="0"/>
                      <w:i/>
                      <w:iCs/>
                      <w:color w:val="0070C0"/>
                    </w:rPr>
                  </w:sdtEndPr>
                  <w:sdtContent>
                    <w:sdt>
                      <w:sdtPr>
                        <w:id w:val="-219591903"/>
                        <w:placeholder>
                          <w:docPart w:val="83D51CBF6B544FA28888109314CB2DD1"/>
                        </w:placeholder>
                        <w15:color w:val="000000"/>
                      </w:sdtPr>
                      <w:sdtEndPr>
                        <w:rPr>
                          <w:rFonts w:ascii="Comic Sans MS" w:hAnsi="Comic Sans MS"/>
                          <w:b w:val="0"/>
                          <w:bCs w:val="0"/>
                          <w:i/>
                          <w:iCs/>
                          <w:color w:val="0070C0"/>
                        </w:rPr>
                      </w:sdtEndPr>
                      <w:sdtContent>
                        <w:hyperlink r:id="rId16" w:history="1">
                          <w:r w:rsidR="00E851D3" w:rsidRPr="00133715">
                            <w:rPr>
                              <w:rStyle w:val="Hyperlink"/>
                            </w:rPr>
                            <w:t>4715</w:t>
                          </w:r>
                        </w:hyperlink>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E851D3" w:rsidP="008C793F">
                    <w:pPr>
                      <w:spacing w:after="120"/>
                    </w:pPr>
                    <w:r w:rsidRPr="00E851D3">
                      <w:t>Landwirtschaftliche Strukturen (</w:t>
                    </w:r>
                    <w:proofErr w:type="spellStart"/>
                    <w:r w:rsidRPr="00E851D3">
                      <w:t>IF</w:t>
                    </w:r>
                    <w:proofErr w:type="spellEnd"/>
                    <w:r w:rsidRPr="00E851D3">
                      <w:t xml:space="preserve"> 3)</w:t>
                    </w:r>
                  </w:p>
                </w:sdtContent>
              </w:sdt>
            </w:tc>
          </w:tr>
        </w:tbl>
      </w:sdtContent>
    </w:sdt>
    <w:p w:rsidR="00106E8D" w:rsidRPr="000552C3" w:rsidRDefault="00106E8D" w:rsidP="000552C3">
      <w:pPr>
        <w:pStyle w:val="Head2blau"/>
      </w:pPr>
      <w:r w:rsidRPr="000552C3">
        <w:t>Erläuterungen zum Inhaltsfeld</w:t>
      </w:r>
    </w:p>
    <w:p w:rsidR="00E851D3" w:rsidRDefault="00E851D3" w:rsidP="00E851D3">
      <w:pPr>
        <w:spacing w:after="80"/>
      </w:pPr>
      <w:r>
        <w:t>Die Ernährung der Menschheit befindet sich in einem Transformationsprozess mit weitreichenden Folgen für Ökologie und Gesundheit. Weltweit hat eine Entwicklung eingesetzt, die den Konsum von immer mehr industriell verarbeiteten Produkten befördert, von Fleisch und anderen Tierprodukten, von „leeren Kohlehydraten“ und von Lebensmitteln mit hohen Anteilen an Fetten, an Zucker oder Salz. Begleitet von geringeren physischen Aktivitäten der Menschen und einer zunehmenden Verstädterung führt dieser Ernährungswandel</w:t>
      </w:r>
      <w:r w:rsidR="004B601B">
        <w:rPr>
          <w:rStyle w:val="Funotenzeichen"/>
          <w:color w:val="000000" w:themeColor="text1"/>
        </w:rPr>
        <w:footnoteReference w:id="1"/>
      </w:r>
      <w:r>
        <w:t xml:space="preserve"> zu einer Reihe von gesundheitlichen Risiken – in „reichen und armen Ländern“. Gleichzeitig hat der hohe Konsum von Tierprodukten </w:t>
      </w:r>
      <w:r>
        <w:lastRenderedPageBreak/>
        <w:t>enorme ökologische Folgen für das Klima und für die Böden, für das Wasser, die Wälder und die Artenvielfalt.</w:t>
      </w:r>
    </w:p>
    <w:p w:rsidR="00C11E37" w:rsidRPr="004B601B" w:rsidRDefault="00E851D3" w:rsidP="004B601B">
      <w:pPr>
        <w:spacing w:after="80"/>
      </w:pPr>
      <w:r>
        <w:t>Wissenschaftler des Potsdamer Institutes für Klimafolgenforschung (PIK) haben in einer Studie (November 2020) herausgearbeitet, welche Folgen dieser weltweite Ernährungswandel  für die Welternährung und für die Ökosysteme haben wird. Während Zahl und Anteil der Unterernährten (Hungernden) nach Einschätzung der Potsdamer Wissenschaftler weiter zurückgehen werden, nimmt die „Adipositas-Epidemie“ zu. Der Studie</w:t>
      </w:r>
      <w:r w:rsidR="004B601B">
        <w:rPr>
          <w:rStyle w:val="Funotenzeichen"/>
          <w:color w:val="000000" w:themeColor="text1"/>
        </w:rPr>
        <w:footnoteReference w:id="2"/>
      </w:r>
      <w:r>
        <w:t xml:space="preserve"> zufolge werden 2050 mehr als 4 Milliarden – fast die Hälfte der Weltbevölkerung – übergewichtig sein. 1,5 Mrd. hiervon werden als adipös (</w:t>
      </w:r>
      <w:proofErr w:type="spellStart"/>
      <w:r>
        <w:t>BMI</w:t>
      </w:r>
      <w:proofErr w:type="spellEnd"/>
      <w:r>
        <w:t xml:space="preserve"> ≥30) eingestuft. Gleichzeitig rech</w:t>
      </w:r>
      <w:r w:rsidR="004B601B">
        <w:t>nen die Forscher mit einem wach</w:t>
      </w:r>
      <w:r>
        <w:t xml:space="preserve">senden Anteil von Fleisch und anderen Tierprodukten an der Ernährung der Menschen (Verdoppelung der Nachfrage von 2010 bis 2050). Das bedeutet auch: Mehr Flächenbedarf für Viehweiden und Futtermittelanbau, mehr Waldzerstörung, mehr Treibhausgase etc. Die entscheidende Zukunftsfrage wird sein, ob es gelingen wird, den Ernährungswandel politisch so zu steuern, dass der wohl unvermeidbare Mehrbedarf der wachsenden und wohlstandsmäßig zulegenden Menschheit in ökologisch nachhaltigerer Weise und mit mehr Rücksicht auf die Gesundheit gerechter befriedigt werden kann. Es geht um einen Paradigmenwechsel, der statt des „immer mehr“ eine qualitativ bessere Ernährung anstrebt. Eine Reduzierung des Anteils der tierischen Nahrungsmittel hätte in diesem Zusammenhang den größten Nutzen für Klima und Ökologie – und würde auch der Gesundheit nutzen. Die Forscher des </w:t>
      </w:r>
      <w:proofErr w:type="gramStart"/>
      <w:r>
        <w:t>PIK</w:t>
      </w:r>
      <w:proofErr w:type="gramEnd"/>
      <w:r>
        <w:t xml:space="preserve"> sehen hier nicht zuletzt eine Bildungsaufgabe.</w:t>
      </w:r>
    </w:p>
    <w:p w:rsidR="002D329F" w:rsidRDefault="002D329F" w:rsidP="000552C3">
      <w:pPr>
        <w:pStyle w:val="Head2blau"/>
      </w:pPr>
      <w:r w:rsidRPr="002D329F">
        <w:t>V</w:t>
      </w:r>
      <w:r w:rsidR="004B601B">
        <w:t>orschläge für den Unterricht</w:t>
      </w:r>
    </w:p>
    <w:p w:rsidR="004B601B" w:rsidRDefault="004B601B" w:rsidP="004B601B">
      <w:pPr>
        <w:pStyle w:val="Liste1"/>
      </w:pPr>
      <w:r>
        <w:t xml:space="preserve">Vielleicht haben die </w:t>
      </w:r>
      <w:proofErr w:type="spellStart"/>
      <w:r>
        <w:t>SuS</w:t>
      </w:r>
      <w:proofErr w:type="spellEnd"/>
      <w:r>
        <w:t xml:space="preserve"> bereits vom „globalen Ernährungswandel“ gehört. Fragen Sie nach Vermutungen, was hinter diesem Begriff stehen könnte. Was wären Kennzeichen und Folgen dieses Ernährungswandels? Inwieweit sind davon alle Länder der Erde betroffen?</w:t>
      </w:r>
    </w:p>
    <w:p w:rsidR="004B601B" w:rsidRDefault="004B601B" w:rsidP="004B601B">
      <w:pPr>
        <w:pStyle w:val="Liste1"/>
      </w:pPr>
      <w:r>
        <w:t xml:space="preserve">Das Kurzvideo </w:t>
      </w:r>
      <w:r w:rsidRPr="004B601B">
        <w:rPr>
          <w:rStyle w:val="Material-Nr"/>
        </w:rPr>
        <w:t>V-2</w:t>
      </w:r>
      <w:r>
        <w:t xml:space="preserve"> (5 Min.) skizziert, was mit dem globalen Ernährungswandel gemeint ist. Erläuterungen zum Kurzvideo gibt es auf </w:t>
      </w:r>
      <w:r w:rsidRPr="004B601B">
        <w:rPr>
          <w:rStyle w:val="Material-Nr"/>
        </w:rPr>
        <w:t>V-2-M</w:t>
      </w:r>
      <w:r>
        <w:t xml:space="preserve"> (USB-Stick).</w:t>
      </w:r>
    </w:p>
    <w:p w:rsidR="004B601B" w:rsidRDefault="004B601B" w:rsidP="004B601B">
      <w:pPr>
        <w:pStyle w:val="Liste1"/>
      </w:pPr>
      <w:r>
        <w:t xml:space="preserve">Einige zentrale Resultate der Potsdamer Studie sind im Arbeitsblatt </w:t>
      </w:r>
      <w:r w:rsidRPr="004B601B">
        <w:rPr>
          <w:rStyle w:val="Material-Nr"/>
        </w:rPr>
        <w:t>M-10-1</w:t>
      </w:r>
      <w:r>
        <w:t xml:space="preserve"> dargestellt. Sie können diese Feststellungen im Klassengespräch ansprechen und erläutern – oder aber auch als Schülerreferat vergeben. </w:t>
      </w:r>
    </w:p>
    <w:p w:rsidR="002D329F" w:rsidRDefault="004B601B" w:rsidP="004B601B">
      <w:pPr>
        <w:pStyle w:val="Liste1"/>
      </w:pPr>
      <w:r>
        <w:t>Welche Schlussfolgerungen für politisches Handeln ergeben sich aus der Feststellung, dass die meisten Länder (so auch Deutschland) sich im Prozess eines Ernährungswandels befinden? Dies könnte in einem Klassengespräch erörtert werden. Konkrete Ansatzpunkte für die Frage nach politischen Konsequenzen wären z.B. die Frage nach einer Zuckersteuer in Deutschland oder nach Junkfood-Werbeeinschränkungen mit Zielgruppe Kinder und Jugendliche.</w:t>
      </w:r>
    </w:p>
    <w:p w:rsidR="004B601B" w:rsidRDefault="004B601B" w:rsidP="004B601B">
      <w:pPr>
        <w:pStyle w:val="Head2blau"/>
      </w:pPr>
      <w:r>
        <w:t xml:space="preserve">Hinweise auf weitere Materialien </w:t>
      </w:r>
    </w:p>
    <w:p w:rsidR="004B601B" w:rsidRDefault="004B601B" w:rsidP="004B601B">
      <w:pPr>
        <w:pStyle w:val="Liste1"/>
      </w:pPr>
      <w:r>
        <w:t xml:space="preserve">Präsentation </w:t>
      </w:r>
      <w:proofErr w:type="spellStart"/>
      <w:r>
        <w:t>B.M</w:t>
      </w:r>
      <w:proofErr w:type="spellEnd"/>
      <w:r>
        <w:t xml:space="preserve">. </w:t>
      </w:r>
      <w:proofErr w:type="spellStart"/>
      <w:r>
        <w:t>Popkin</w:t>
      </w:r>
      <w:proofErr w:type="spellEnd"/>
      <w:r>
        <w:t xml:space="preserve"> (engl.): </w:t>
      </w:r>
      <w:r>
        <w:br/>
      </w:r>
      <w:hyperlink r:id="rId17" w:history="1">
        <w:r w:rsidRPr="004B601B">
          <w:rPr>
            <w:rStyle w:val="Hyperlink"/>
          </w:rPr>
          <w:t>https://www.who.int/nutrition/topics/seminar_9June2017/en/</w:t>
        </w:r>
      </w:hyperlink>
    </w:p>
    <w:p w:rsidR="004B601B" w:rsidRDefault="004B601B" w:rsidP="004B601B">
      <w:pPr>
        <w:pStyle w:val="Liste1"/>
      </w:pPr>
      <w:r>
        <w:t xml:space="preserve">Ärztezeitung zum Thema Zuckersteuer: </w:t>
      </w:r>
      <w:r>
        <w:br/>
      </w:r>
      <w:hyperlink r:id="rId18" w:history="1">
        <w:r w:rsidRPr="004B601B">
          <w:rPr>
            <w:rStyle w:val="Hyperlink"/>
          </w:rPr>
          <w:t>https://www.aerztezeitung.de/Wirtschaft/Unternehmen-reagieren-auf-Zuckersteuer-405775.html</w:t>
        </w:r>
      </w:hyperlink>
      <w:r>
        <w:t xml:space="preserve"> </w:t>
      </w:r>
    </w:p>
    <w:p w:rsidR="004B601B" w:rsidRDefault="004B601B" w:rsidP="004B601B">
      <w:pPr>
        <w:pStyle w:val="Liste1"/>
      </w:pPr>
      <w:r>
        <w:t xml:space="preserve">Reduktionsstrategie der Bundesregierung für Fertigprodukte: </w:t>
      </w:r>
      <w:r>
        <w:br/>
      </w:r>
      <w:hyperlink r:id="rId19" w:history="1">
        <w:r w:rsidRPr="004B601B">
          <w:rPr>
            <w:rStyle w:val="Hyperlink"/>
          </w:rPr>
          <w:t>https://www.bmel.de/DE/themen/ernaehrung/gesunde-ernaehrung/reduktionsstrategie/reduktionsstrategie_node.html</w:t>
        </w:r>
      </w:hyperlink>
    </w:p>
    <w:p w:rsidR="0055329C" w:rsidRPr="004B601B" w:rsidRDefault="004B601B" w:rsidP="004B601B">
      <w:pPr>
        <w:pStyle w:val="Liste1"/>
        <w:rPr>
          <w:rStyle w:val="Hyperlink"/>
        </w:rPr>
      </w:pPr>
      <w:r>
        <w:lastRenderedPageBreak/>
        <w:t>Ärzteblatt: Grüne für Werbeverbote nach britischem Vorbild:</w:t>
      </w:r>
      <w:r>
        <w:br/>
      </w:r>
      <w:hyperlink r:id="rId20" w:history="1">
        <w:r w:rsidRPr="004B601B">
          <w:rPr>
            <w:rStyle w:val="Hyperlink"/>
          </w:rPr>
          <w:t>https://www.aerzteblatt.de/nachrichten/115326/Junkfood-Gruene-fuer-Werbeverbot-nach-britischem-Vorbild</w:t>
        </w:r>
      </w:hyperlink>
      <w:r w:rsidRPr="004B601B">
        <w:rPr>
          <w:rStyle w:val="Hyperlink"/>
        </w:rPr>
        <w:t xml:space="preserve">  </w:t>
      </w:r>
    </w:p>
    <w:p w:rsidR="004B601B" w:rsidRDefault="004B601B" w:rsidP="004B601B">
      <w:pPr>
        <w:pStyle w:val="Head2blau"/>
      </w:pPr>
      <w:r>
        <w:t xml:space="preserve">Hinweise auf Medien </w:t>
      </w:r>
    </w:p>
    <w:p w:rsidR="004B601B" w:rsidRDefault="004B601B" w:rsidP="004B601B">
      <w:pPr>
        <w:pStyle w:val="Textkrper"/>
      </w:pPr>
      <w:r>
        <w:t xml:space="preserve">Englischer </w:t>
      </w:r>
      <w:proofErr w:type="spellStart"/>
      <w:r>
        <w:t>Erklärfilm</w:t>
      </w:r>
      <w:proofErr w:type="spellEnd"/>
      <w:r>
        <w:t xml:space="preserve"> (4:22 Min.) zu Global Nutrition Transition: </w:t>
      </w:r>
      <w:r>
        <w:br/>
      </w:r>
      <w:hyperlink r:id="rId21" w:history="1">
        <w:r w:rsidRPr="004B601B">
          <w:rPr>
            <w:rStyle w:val="Hyperlink"/>
          </w:rPr>
          <w:t>https://www.youtube.com/watch?v=dIhnkSHcudQ</w:t>
        </w:r>
      </w:hyperlink>
    </w:p>
    <w:p w:rsidR="004B601B" w:rsidRDefault="004B601B" w:rsidP="0055329C">
      <w:pPr>
        <w:pStyle w:val="Textkrper"/>
      </w:pPr>
    </w:p>
    <w:p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3">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4">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5">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6">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E78B2" w:rsidRPr="000032FB" w:rsidRDefault="007E78B2" w:rsidP="007E78B2">
      <w:pPr>
        <w:pStyle w:val="AB-Nr"/>
      </w:pPr>
      <w:r w:rsidRPr="000032FB">
        <w:lastRenderedPageBreak/>
        <w:t>M</w:t>
      </w:r>
      <w:r w:rsidRPr="007E78B2">
        <w:rPr>
          <w:rStyle w:val="AB-NrZchn"/>
        </w:rPr>
        <w:t>-</w:t>
      </w:r>
      <w:r w:rsidR="004B601B">
        <w:t>10</w:t>
      </w:r>
      <w:r>
        <w:t>-1</w:t>
      </w:r>
    </w:p>
    <w:p w:rsidR="007E78B2" w:rsidRDefault="004B601B" w:rsidP="007E78B2">
      <w:pPr>
        <w:jc w:val="center"/>
        <w:rPr>
          <w:rStyle w:val="ABHead1Zchn"/>
        </w:rPr>
      </w:pPr>
      <w:r w:rsidRPr="004B601B">
        <w:rPr>
          <w:rStyle w:val="ABHead1Zchn"/>
        </w:rPr>
        <w:t>Weltweiter Ernährungswandel</w:t>
      </w:r>
    </w:p>
    <w:p w:rsidR="007E78B2" w:rsidRDefault="00EE02E8" w:rsidP="00EE02E8">
      <w:pPr>
        <w:pStyle w:val="Unterzeile0"/>
      </w:pPr>
      <w:r>
        <w:t xml:space="preserve">Einige Resultate aus der Studie des Potsdamer Instituts für </w:t>
      </w:r>
      <w:r>
        <w:br/>
        <w:t>Klimafolgenforschung, 2020</w:t>
      </w:r>
      <w:r>
        <w:rPr>
          <w:rStyle w:val="Funotenzeichen"/>
          <w:szCs w:val="28"/>
        </w:rPr>
        <w:footnoteReference w:id="3"/>
      </w:r>
    </w:p>
    <w:p w:rsidR="00FE4C9C" w:rsidRDefault="00EE02E8" w:rsidP="00EE02E8">
      <w:pPr>
        <w:pStyle w:val="Head2rot"/>
      </w:pPr>
      <w:r w:rsidRPr="00EE02E8">
        <w:rPr>
          <w:noProof/>
          <w:lang w:eastAsia="de-DE"/>
        </w:rPr>
        <w:drawing>
          <wp:inline distT="0" distB="0" distL="0" distR="0" wp14:anchorId="5961F4F2" wp14:editId="1DFEC6C7">
            <wp:extent cx="6120130" cy="3684182"/>
            <wp:effectExtent l="0" t="0" r="13970" b="1206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E02E8" w:rsidRDefault="00EE02E8" w:rsidP="00EE02E8">
      <w:pPr>
        <w:pStyle w:val="Textkrper"/>
      </w:pPr>
    </w:p>
    <w:tbl>
      <w:tblPr>
        <w:tblStyle w:val="Tabellenraster"/>
        <w:tblW w:w="0" w:type="auto"/>
        <w:tblLook w:val="04A0" w:firstRow="1" w:lastRow="0" w:firstColumn="1" w:lastColumn="0" w:noHBand="0" w:noVBand="1"/>
      </w:tblPr>
      <w:tblGrid>
        <w:gridCol w:w="2749"/>
        <w:gridCol w:w="1485"/>
        <w:gridCol w:w="774"/>
        <w:gridCol w:w="1547"/>
        <w:gridCol w:w="826"/>
        <w:gridCol w:w="1473"/>
        <w:gridCol w:w="774"/>
      </w:tblGrid>
      <w:tr w:rsidR="00EE02E8" w:rsidTr="00BD3041">
        <w:tc>
          <w:tcPr>
            <w:tcW w:w="2749" w:type="dxa"/>
          </w:tcPr>
          <w:p w:rsidR="00EE02E8" w:rsidRDefault="00EE02E8" w:rsidP="00C33A1E">
            <w:pPr>
              <w:jc w:val="center"/>
            </w:pPr>
          </w:p>
        </w:tc>
        <w:tc>
          <w:tcPr>
            <w:tcW w:w="2259" w:type="dxa"/>
            <w:gridSpan w:val="2"/>
          </w:tcPr>
          <w:p w:rsidR="00EE02E8" w:rsidRPr="00CE2D98" w:rsidRDefault="00EE02E8" w:rsidP="00C33A1E">
            <w:pPr>
              <w:jc w:val="center"/>
              <w:rPr>
                <w:b/>
                <w:bCs/>
              </w:rPr>
            </w:pPr>
            <w:r w:rsidRPr="00CE2D98">
              <w:rPr>
                <w:b/>
                <w:bCs/>
              </w:rPr>
              <w:t>2010</w:t>
            </w:r>
          </w:p>
        </w:tc>
        <w:tc>
          <w:tcPr>
            <w:tcW w:w="2373" w:type="dxa"/>
            <w:gridSpan w:val="2"/>
          </w:tcPr>
          <w:p w:rsidR="00EE02E8" w:rsidRPr="00CE2D98" w:rsidRDefault="00EE02E8" w:rsidP="00C33A1E">
            <w:pPr>
              <w:jc w:val="center"/>
              <w:rPr>
                <w:b/>
                <w:bCs/>
              </w:rPr>
            </w:pPr>
            <w:r w:rsidRPr="00CE2D98">
              <w:rPr>
                <w:b/>
                <w:bCs/>
              </w:rPr>
              <w:t>2050</w:t>
            </w:r>
          </w:p>
        </w:tc>
        <w:tc>
          <w:tcPr>
            <w:tcW w:w="2247" w:type="dxa"/>
            <w:gridSpan w:val="2"/>
          </w:tcPr>
          <w:p w:rsidR="00EE02E8" w:rsidRPr="00CE2D98" w:rsidRDefault="00EE02E8" w:rsidP="00C33A1E">
            <w:pPr>
              <w:jc w:val="center"/>
              <w:rPr>
                <w:b/>
                <w:bCs/>
              </w:rPr>
            </w:pPr>
            <w:r w:rsidRPr="00CE2D98">
              <w:rPr>
                <w:b/>
                <w:bCs/>
              </w:rPr>
              <w:t>2100</w:t>
            </w:r>
          </w:p>
        </w:tc>
      </w:tr>
      <w:tr w:rsidR="00EE02E8" w:rsidTr="00BD3041">
        <w:tc>
          <w:tcPr>
            <w:tcW w:w="2749" w:type="dxa"/>
          </w:tcPr>
          <w:p w:rsidR="00EE02E8" w:rsidRDefault="00EE02E8" w:rsidP="00C33A1E">
            <w:r>
              <w:t>Unterernährte</w:t>
            </w:r>
          </w:p>
        </w:tc>
        <w:tc>
          <w:tcPr>
            <w:tcW w:w="1485" w:type="dxa"/>
          </w:tcPr>
          <w:p w:rsidR="00EE02E8" w:rsidRDefault="00EE02E8" w:rsidP="00C33A1E">
            <w:pPr>
              <w:jc w:val="right"/>
            </w:pPr>
            <w:r>
              <w:t>749 Mio.</w:t>
            </w:r>
          </w:p>
        </w:tc>
        <w:tc>
          <w:tcPr>
            <w:tcW w:w="774" w:type="dxa"/>
          </w:tcPr>
          <w:p w:rsidR="00EE02E8" w:rsidRDefault="00EE02E8" w:rsidP="00C33A1E">
            <w:pPr>
              <w:jc w:val="right"/>
            </w:pPr>
            <w:r>
              <w:t>11%</w:t>
            </w:r>
          </w:p>
        </w:tc>
        <w:tc>
          <w:tcPr>
            <w:tcW w:w="1547" w:type="dxa"/>
          </w:tcPr>
          <w:p w:rsidR="00EE02E8" w:rsidRDefault="00EE02E8" w:rsidP="00C33A1E">
            <w:pPr>
              <w:jc w:val="right"/>
            </w:pPr>
            <w:r>
              <w:t>528 Mio.</w:t>
            </w:r>
          </w:p>
        </w:tc>
        <w:tc>
          <w:tcPr>
            <w:tcW w:w="826" w:type="dxa"/>
          </w:tcPr>
          <w:p w:rsidR="00EE02E8" w:rsidRDefault="00EE02E8" w:rsidP="00C33A1E">
            <w:pPr>
              <w:jc w:val="right"/>
            </w:pPr>
            <w:r>
              <w:t>6%</w:t>
            </w:r>
          </w:p>
        </w:tc>
        <w:tc>
          <w:tcPr>
            <w:tcW w:w="1473" w:type="dxa"/>
          </w:tcPr>
          <w:p w:rsidR="00EE02E8" w:rsidRDefault="00EE02E8" w:rsidP="00C33A1E">
            <w:pPr>
              <w:jc w:val="right"/>
            </w:pPr>
            <w:r>
              <w:t>394 Mio.</w:t>
            </w:r>
          </w:p>
        </w:tc>
        <w:tc>
          <w:tcPr>
            <w:tcW w:w="774" w:type="dxa"/>
          </w:tcPr>
          <w:p w:rsidR="00EE02E8" w:rsidRDefault="00EE02E8" w:rsidP="00C33A1E">
            <w:pPr>
              <w:jc w:val="right"/>
            </w:pPr>
            <w:r>
              <w:t>4%</w:t>
            </w:r>
          </w:p>
        </w:tc>
      </w:tr>
      <w:tr w:rsidR="00EE02E8" w:rsidTr="00BD3041">
        <w:tc>
          <w:tcPr>
            <w:tcW w:w="2749" w:type="dxa"/>
          </w:tcPr>
          <w:p w:rsidR="00EE02E8" w:rsidRDefault="00EE02E8" w:rsidP="00C33A1E">
            <w:r>
              <w:t>Übergewichtige</w:t>
            </w:r>
          </w:p>
        </w:tc>
        <w:tc>
          <w:tcPr>
            <w:tcW w:w="1485" w:type="dxa"/>
          </w:tcPr>
          <w:p w:rsidR="00EE02E8" w:rsidRDefault="00EE02E8" w:rsidP="00C33A1E">
            <w:pPr>
              <w:jc w:val="right"/>
            </w:pPr>
            <w:r>
              <w:t>1.993 Mio.</w:t>
            </w:r>
          </w:p>
        </w:tc>
        <w:tc>
          <w:tcPr>
            <w:tcW w:w="774" w:type="dxa"/>
          </w:tcPr>
          <w:p w:rsidR="00EE02E8" w:rsidRDefault="00EE02E8" w:rsidP="00C33A1E">
            <w:pPr>
              <w:jc w:val="right"/>
            </w:pPr>
            <w:r>
              <w:t>29%</w:t>
            </w:r>
          </w:p>
        </w:tc>
        <w:tc>
          <w:tcPr>
            <w:tcW w:w="1547" w:type="dxa"/>
          </w:tcPr>
          <w:p w:rsidR="00EE02E8" w:rsidRDefault="00EE02E8" w:rsidP="00C33A1E">
            <w:pPr>
              <w:jc w:val="right"/>
            </w:pPr>
            <w:r>
              <w:t>4.135</w:t>
            </w:r>
          </w:p>
        </w:tc>
        <w:tc>
          <w:tcPr>
            <w:tcW w:w="826" w:type="dxa"/>
          </w:tcPr>
          <w:p w:rsidR="00EE02E8" w:rsidRDefault="00EE02E8" w:rsidP="00C33A1E">
            <w:pPr>
              <w:jc w:val="right"/>
            </w:pPr>
            <w:r>
              <w:t>45%</w:t>
            </w:r>
          </w:p>
        </w:tc>
        <w:tc>
          <w:tcPr>
            <w:tcW w:w="1473" w:type="dxa"/>
          </w:tcPr>
          <w:p w:rsidR="00EE02E8" w:rsidRDefault="00EE02E8" w:rsidP="00C33A1E">
            <w:pPr>
              <w:jc w:val="right"/>
            </w:pPr>
            <w:r>
              <w:t>5.018 Mio.</w:t>
            </w:r>
          </w:p>
        </w:tc>
        <w:tc>
          <w:tcPr>
            <w:tcW w:w="774" w:type="dxa"/>
          </w:tcPr>
          <w:p w:rsidR="00EE02E8" w:rsidRDefault="00EE02E8" w:rsidP="00C33A1E">
            <w:pPr>
              <w:jc w:val="right"/>
            </w:pPr>
            <w:r>
              <w:t>56%</w:t>
            </w:r>
          </w:p>
        </w:tc>
      </w:tr>
      <w:tr w:rsidR="00EE02E8" w:rsidTr="00BD3041">
        <w:tc>
          <w:tcPr>
            <w:tcW w:w="2749" w:type="dxa"/>
          </w:tcPr>
          <w:p w:rsidR="00EE02E8" w:rsidRDefault="00EE02E8" w:rsidP="00C33A1E">
            <w:r>
              <w:t>Adipöse</w:t>
            </w:r>
          </w:p>
        </w:tc>
        <w:tc>
          <w:tcPr>
            <w:tcW w:w="1485" w:type="dxa"/>
          </w:tcPr>
          <w:p w:rsidR="00EE02E8" w:rsidRDefault="00EE02E8" w:rsidP="00C33A1E">
            <w:pPr>
              <w:jc w:val="right"/>
            </w:pPr>
            <w:r>
              <w:t>636 Mio.</w:t>
            </w:r>
          </w:p>
        </w:tc>
        <w:tc>
          <w:tcPr>
            <w:tcW w:w="774" w:type="dxa"/>
          </w:tcPr>
          <w:p w:rsidR="00EE02E8" w:rsidRDefault="00EE02E8" w:rsidP="00C33A1E">
            <w:pPr>
              <w:jc w:val="right"/>
            </w:pPr>
            <w:r>
              <w:t>9%</w:t>
            </w:r>
          </w:p>
        </w:tc>
        <w:tc>
          <w:tcPr>
            <w:tcW w:w="1547" w:type="dxa"/>
          </w:tcPr>
          <w:p w:rsidR="00EE02E8" w:rsidRDefault="00EE02E8" w:rsidP="00C33A1E">
            <w:pPr>
              <w:jc w:val="right"/>
            </w:pPr>
            <w:r>
              <w:t>1.493 Mio.</w:t>
            </w:r>
          </w:p>
        </w:tc>
        <w:tc>
          <w:tcPr>
            <w:tcW w:w="826" w:type="dxa"/>
          </w:tcPr>
          <w:p w:rsidR="00EE02E8" w:rsidRDefault="00EE02E8" w:rsidP="00C33A1E">
            <w:pPr>
              <w:jc w:val="right"/>
            </w:pPr>
            <w:r>
              <w:t>16%</w:t>
            </w:r>
          </w:p>
        </w:tc>
        <w:tc>
          <w:tcPr>
            <w:tcW w:w="1473" w:type="dxa"/>
          </w:tcPr>
          <w:p w:rsidR="00EE02E8" w:rsidRDefault="00EE02E8" w:rsidP="00C33A1E">
            <w:pPr>
              <w:jc w:val="right"/>
            </w:pPr>
            <w:r>
              <w:t>2.052 Mio.</w:t>
            </w:r>
          </w:p>
        </w:tc>
        <w:tc>
          <w:tcPr>
            <w:tcW w:w="774" w:type="dxa"/>
          </w:tcPr>
          <w:p w:rsidR="00EE02E8" w:rsidRDefault="00EE02E8" w:rsidP="00C33A1E">
            <w:pPr>
              <w:jc w:val="right"/>
            </w:pPr>
            <w:r>
              <w:t>23%</w:t>
            </w:r>
          </w:p>
        </w:tc>
      </w:tr>
    </w:tbl>
    <w:p w:rsidR="00BD3041" w:rsidRDefault="00BD3041" w:rsidP="00BD3041">
      <w:pPr>
        <w:pStyle w:val="ListeLinks"/>
        <w:rPr>
          <w:color w:val="C00000"/>
          <w:sz w:val="32"/>
          <w:szCs w:val="32"/>
        </w:rPr>
      </w:pPr>
      <w:r>
        <w:br w:type="page"/>
      </w:r>
    </w:p>
    <w:p w:rsidR="00EE02E8" w:rsidRDefault="00BD3041" w:rsidP="00BD3041">
      <w:pPr>
        <w:pStyle w:val="Head2rot"/>
        <w:jc w:val="center"/>
      </w:pPr>
      <w:r w:rsidRPr="002F5F53">
        <w:lastRenderedPageBreak/>
        <w:t>Was die Nachfrage nach Nahrungsmittel beeinflusst</w:t>
      </w:r>
    </w:p>
    <w:p w:rsidR="00BD3041" w:rsidRDefault="00BD3041" w:rsidP="00BD3041">
      <w:pPr>
        <w:pStyle w:val="Textkrper"/>
      </w:pPr>
      <w:r>
        <w:rPr>
          <w:noProof/>
          <w:lang w:eastAsia="de-DE"/>
        </w:rPr>
        <w:drawing>
          <wp:inline distT="0" distB="0" distL="0" distR="0" wp14:anchorId="1A236049" wp14:editId="5A31911B">
            <wp:extent cx="6179164" cy="9980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28">
                      <a:extLst>
                        <a:ext uri="{28A0092B-C50C-407E-A947-70E740481C1C}">
                          <a14:useLocalDpi xmlns:a14="http://schemas.microsoft.com/office/drawing/2010/main" val="0"/>
                        </a:ext>
                      </a:extLst>
                    </a:blip>
                    <a:srcRect l="1143"/>
                    <a:stretch/>
                  </pic:blipFill>
                  <pic:spPr>
                    <a:xfrm>
                      <a:off x="0" y="0"/>
                      <a:ext cx="6200181" cy="1001455"/>
                    </a:xfrm>
                    <a:prstGeom prst="rect">
                      <a:avLst/>
                    </a:prstGeom>
                  </pic:spPr>
                </pic:pic>
              </a:graphicData>
            </a:graphic>
          </wp:inline>
        </w:drawing>
      </w:r>
    </w:p>
    <w:p w:rsidR="00BD3041" w:rsidRDefault="00BD3041" w:rsidP="00BD3041">
      <w:pPr>
        <w:pStyle w:val="Textkrper"/>
      </w:pPr>
      <w:r>
        <w:t>Die Forscher des Potsdamer Institutes für Klimafolgenforschung haben in vier Bereichen (von links nach rechts) berechnet, was den Bedarf an Nahrungsmitteln in der Zukunft beeinflussen könnte. Wenn alle Unterernährten ausreichend versorgt würden, so hätte dies (blaues Symbol links) nur geringe Folgen für die Nachfrage nach Nahrungsmitteln (1,4% zusätzlicher Bedarf; Berechnung für 2010).</w:t>
      </w:r>
    </w:p>
    <w:p w:rsidR="00BD3041" w:rsidRDefault="00BD3041" w:rsidP="00BD3041">
      <w:pPr>
        <w:pStyle w:val="Textkrper"/>
      </w:pPr>
      <w:r>
        <w:t>Würden alle Übergewichtigen (rotes Symbol) ihre Ernährung auf „Normalmaß“ umstellen, so würde dies die Nachfrage nach Nahrungsmitteln deutlich reduzieren (</w:t>
      </w:r>
      <w:r>
        <w:rPr>
          <w:rFonts w:cs="Calibri"/>
        </w:rPr>
        <w:t>–</w:t>
      </w:r>
      <w:r>
        <w:t xml:space="preserve">4,4% berechnet für 2010, </w:t>
      </w:r>
      <w:r>
        <w:br/>
      </w:r>
      <w:r>
        <w:rPr>
          <w:rFonts w:cs="Calibri"/>
        </w:rPr>
        <w:t>–</w:t>
      </w:r>
      <w:r>
        <w:t>6,8% berechnet für 2050).</w:t>
      </w:r>
    </w:p>
    <w:p w:rsidR="00BD3041" w:rsidRDefault="00BD3041" w:rsidP="00BD3041">
      <w:pPr>
        <w:pStyle w:val="Textkrper"/>
      </w:pPr>
      <w:r>
        <w:t>Würden die Menschen sich mehr bewegen und ihre physischen Aktivitäten auf ein „moderates Maß“ steigern, so hätte dies wahrscheinlich einen erhöhten Bedarf an Nahrungsmitteln zur Folge (+5,2%).</w:t>
      </w:r>
    </w:p>
    <w:p w:rsidR="00BD3041" w:rsidRDefault="00BD3041" w:rsidP="00BD3041">
      <w:pPr>
        <w:pStyle w:val="Textkrper"/>
      </w:pPr>
      <w:r>
        <w:t>Ein riesiges Einsparpotential hat für die Forscher der Umgang mit Nahrungsmitteln, von denen ein großer Teil (Rund ein Drittel) zurzeit verdirbt oder weggeworfen wird. Wenn es gelänge, diese Verluste zu vermeiden, so könnte ein erheblicher Teil der bisherigen Nachfrage (24,9% für 2010, 33,2% für 2050) wegfallen, wäre also Spielraum, mit dem bestehenden Angebot (bei sinkenden Preisen) mehr Menschen besser zu ernähren.</w:t>
      </w:r>
    </w:p>
    <w:p w:rsidR="00BD3041" w:rsidRDefault="00BD3041">
      <w:pPr>
        <w:spacing w:after="160" w:line="259" w:lineRule="auto"/>
        <w:rPr>
          <w:b/>
          <w:bCs/>
          <w:color w:val="C00000"/>
          <w:sz w:val="32"/>
          <w:szCs w:val="32"/>
        </w:rPr>
      </w:pPr>
      <w:r>
        <w:rPr>
          <w:b/>
          <w:bCs/>
          <w:color w:val="C00000"/>
          <w:sz w:val="32"/>
          <w:szCs w:val="32"/>
        </w:rPr>
        <w:br w:type="page"/>
      </w:r>
    </w:p>
    <w:p w:rsidR="00BD3041" w:rsidRPr="00F824BE" w:rsidRDefault="00BD3041" w:rsidP="00BD3041">
      <w:pPr>
        <w:pStyle w:val="Head2rot"/>
        <w:jc w:val="center"/>
      </w:pPr>
      <w:r w:rsidRPr="00F824BE">
        <w:lastRenderedPageBreak/>
        <w:t>Welche Nahrungsmittel zuk</w:t>
      </w:r>
      <w:r w:rsidRPr="00BD3041">
        <w:rPr>
          <w:rStyle w:val="Head2rotZchn"/>
        </w:rPr>
        <w:t>ü</w:t>
      </w:r>
      <w:r w:rsidRPr="00F824BE">
        <w:t>nftig nachgefragt werden</w:t>
      </w:r>
    </w:p>
    <w:p w:rsidR="00767960" w:rsidRDefault="00767960" w:rsidP="00BD3041">
      <w:r>
        <w:rPr>
          <w:noProof/>
          <w:lang w:eastAsia="de-DE"/>
        </w:rPr>
        <w:drawing>
          <wp:inline distT="0" distB="0" distL="0" distR="0" wp14:anchorId="489DB8FF" wp14:editId="65CED870">
            <wp:extent cx="6008811" cy="460946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9">
                      <a:extLst>
                        <a:ext uri="{28A0092B-C50C-407E-A947-70E740481C1C}">
                          <a14:useLocalDpi xmlns:a14="http://schemas.microsoft.com/office/drawing/2010/main" val="0"/>
                        </a:ext>
                      </a:extLst>
                    </a:blip>
                    <a:srcRect l="1714"/>
                    <a:stretch/>
                  </pic:blipFill>
                  <pic:spPr bwMode="auto">
                    <a:xfrm>
                      <a:off x="0" y="0"/>
                      <a:ext cx="6137326" cy="4708051"/>
                    </a:xfrm>
                    <a:prstGeom prst="rect">
                      <a:avLst/>
                    </a:prstGeom>
                    <a:ln>
                      <a:noFill/>
                    </a:ln>
                    <a:extLst>
                      <a:ext uri="{53640926-AAD7-44D8-BBD7-CCE9431645EC}">
                        <a14:shadowObscured xmlns:a14="http://schemas.microsoft.com/office/drawing/2010/main"/>
                      </a:ext>
                    </a:extLst>
                  </pic:spPr>
                </pic:pic>
              </a:graphicData>
            </a:graphic>
          </wp:inline>
        </w:drawing>
      </w:r>
    </w:p>
    <w:p w:rsidR="00BD3041" w:rsidRDefault="00BD3041" w:rsidP="00767960">
      <w:pPr>
        <w:pStyle w:val="Textkrper"/>
      </w:pPr>
      <w:r>
        <w:t xml:space="preserve">Die Potsdamer </w:t>
      </w:r>
      <w:proofErr w:type="spellStart"/>
      <w:r>
        <w:t>WissenschaftlerInnen</w:t>
      </w:r>
      <w:proofErr w:type="spellEnd"/>
      <w:r>
        <w:t xml:space="preserve"> erwarten eine Zunahme der Nachfrage nach Nahrungsmitteln, hier gemessen in der Energieeinheit </w:t>
      </w:r>
      <w:proofErr w:type="spellStart"/>
      <w:r>
        <w:t>Exajoule</w:t>
      </w:r>
      <w:proofErr w:type="spellEnd"/>
      <w:r>
        <w:rPr>
          <w:rStyle w:val="Funotenzeichen"/>
        </w:rPr>
        <w:footnoteReference w:id="4"/>
      </w:r>
      <w:r>
        <w:t xml:space="preserve">. Die Nachfrage nach Nahrungsmitteln (2010 = 30 </w:t>
      </w:r>
      <w:proofErr w:type="spellStart"/>
      <w:r>
        <w:t>EJ</w:t>
      </w:r>
      <w:proofErr w:type="spellEnd"/>
      <w:r>
        <w:t xml:space="preserve">) soll 2050 bei 45 </w:t>
      </w:r>
      <w:proofErr w:type="spellStart"/>
      <w:r>
        <w:t>EJ</w:t>
      </w:r>
      <w:proofErr w:type="spellEnd"/>
      <w:r>
        <w:t xml:space="preserve"> und 2100 bei 48 </w:t>
      </w:r>
      <w:proofErr w:type="spellStart"/>
      <w:r>
        <w:t>EJ</w:t>
      </w:r>
      <w:proofErr w:type="spellEnd"/>
      <w:r>
        <w:t xml:space="preserve"> liegen, eine Steigerung um 60% im Vergleich zu 2010. </w:t>
      </w:r>
    </w:p>
    <w:p w:rsidR="00BD3041" w:rsidRDefault="00BD3041" w:rsidP="00767960">
      <w:pPr>
        <w:pStyle w:val="Textkrper"/>
      </w:pPr>
      <w:r>
        <w:t>Besonders stark wird der Studie zufolge die Nachfrage nach Fleisch und anderen Tierprodukten steigen (roter Bereich). Der graue Bereich repräsentiert den Konsum „leerer Kohlehydrate“</w:t>
      </w:r>
      <w:r>
        <w:rPr>
          <w:rStyle w:val="Funotenzeichen"/>
        </w:rPr>
        <w:footnoteReference w:id="5"/>
      </w:r>
      <w:r>
        <w:t>, ebenfalls stark zunehmend. Nur geringe Steigerungen werden bei der Nachfrage nach Obst und Gemüse erwartet. Der orange Bereich repräsentiert Grundnahrungsmittel wie Getreide, Reis oder Kartoffel.</w:t>
      </w:r>
    </w:p>
    <w:p w:rsidR="00BD3041" w:rsidRDefault="00BD3041" w:rsidP="00767960">
      <w:pPr>
        <w:pStyle w:val="Textkrper"/>
      </w:pPr>
      <w:r>
        <w:t>Die im Schaubild prognostizierten Steigerungen der Nahrungsmittel-Nachfrage sind der wachsenden Weltbevölkerung, aber eben auch dem Ernährungswandel geschuldet. Um alle Menschen satt zu machen, wäre nach Überzeugung der Forscher eine Angebotssteigerung 2010</w:t>
      </w:r>
      <w:r w:rsidR="00767960">
        <w:rPr>
          <w:rFonts w:cs="Calibri"/>
        </w:rPr>
        <w:t>–</w:t>
      </w:r>
      <w:r>
        <w:t>2050 von lediglich 1% pro Jahr notwendig. Dass diese Steigerung aber tatsächlich 50% betragen wird, resultiert ganz wesentlich aus den sich verändernden Essgewohnheiten. Auf der anderen Seite signalisiert die vorhergesagte Zunahme beim Konsum von Tierprodukten und leeren Kalorien, dass Übergewicht und Adipositas zunehmen und der Anteil der Menschen, die sich gesund ernähren, zurückgehen werden.</w:t>
      </w:r>
    </w:p>
    <w:p w:rsidR="00BD3041" w:rsidRPr="000004BD" w:rsidRDefault="00BD3041" w:rsidP="00BD3041">
      <w:pPr>
        <w:pStyle w:val="Head2rot"/>
        <w:jc w:val="center"/>
      </w:pPr>
      <w:r w:rsidRPr="000004BD">
        <w:lastRenderedPageBreak/>
        <w:t>Kurzfassung der Studie</w:t>
      </w:r>
      <w:r>
        <w:rPr>
          <w:rStyle w:val="Funotenzeichen"/>
          <w:b w:val="0"/>
          <w:bCs w:val="0"/>
        </w:rPr>
        <w:footnoteReference w:id="6"/>
      </w:r>
    </w:p>
    <w:p w:rsidR="00BD3041" w:rsidRPr="007A5D93" w:rsidRDefault="00BD3041" w:rsidP="00767960">
      <w:pPr>
        <w:pStyle w:val="Textkrper"/>
        <w:rPr>
          <w:lang w:eastAsia="de-DE"/>
        </w:rPr>
      </w:pPr>
      <w:r w:rsidRPr="007A5D93">
        <w:rPr>
          <w:lang w:eastAsia="de-DE"/>
        </w:rPr>
        <w:t xml:space="preserve">18.11.2020 </w:t>
      </w:r>
      <w:r w:rsidR="00767960">
        <w:rPr>
          <w:rFonts w:cs="Calibri"/>
          <w:lang w:eastAsia="de-DE"/>
        </w:rPr>
        <w:t>–</w:t>
      </w:r>
      <w:r w:rsidRPr="007A5D93">
        <w:rPr>
          <w:lang w:eastAsia="de-DE"/>
        </w:rPr>
        <w:t xml:space="preserve"> Nur eine Handvoll Reis und Bohnen – ein Teil unserer Welt hungert. Pizza Hawaii und Eiscreme </w:t>
      </w:r>
      <w:r w:rsidR="00767960">
        <w:rPr>
          <w:rFonts w:cs="Calibri"/>
          <w:lang w:eastAsia="de-DE"/>
        </w:rPr>
        <w:t>–</w:t>
      </w:r>
      <w:r w:rsidRPr="007A5D93">
        <w:rPr>
          <w:lang w:eastAsia="de-DE"/>
        </w:rPr>
        <w:t xml:space="preserve"> ein anderer Teil unserer Welt ist übersättigt. Diese Kluft wird sich voraussichtlich vergrößern, während Lebensmittelverschwendung und der Druck auf die Umwelt zunehmen: Das ist das Ergebnis der neuen Studie eines Teams des Potsdam-Instituts für Klimafolgenforschung (PIK). Die Wissenschaftlerinnen und Wissenschaftler untersuchten die Auswirkungen der Umstellung globaler Ernährungsgewohnheiten über Jahrzehnte, von spärlichen, auf Stärke basierenden Mahlzeiten hin zu tierischen Produkten und verarbeiteten Lebensmitteln; ihre Berechnungen fassen erstmals Schätzungen für Unter- und Übergewicht, Ernährungszusammensetzung und Essensabfälle zusammen. Die Ergebnisse sind alarmierend: Bis 2050 könnten mehr als 4 Milliarden Menschen – fast die Hälfte der Weltbevölkerung – übergewichtig sein, davon 1,5 Milliarden fettleibig. Gleichzeitig würden weiterhin 500 Millionen Menschen an Untergewicht leiden.</w:t>
      </w:r>
    </w:p>
    <w:p w:rsidR="00BD3041" w:rsidRPr="007A5D93" w:rsidRDefault="00BD3041" w:rsidP="00767960">
      <w:pPr>
        <w:pStyle w:val="Textkrper"/>
        <w:rPr>
          <w:lang w:eastAsia="de-DE"/>
        </w:rPr>
      </w:pPr>
      <w:r w:rsidRPr="007A5D93">
        <w:rPr>
          <w:lang w:eastAsia="de-DE"/>
        </w:rPr>
        <w:t xml:space="preserve">„Wenn der beobachtete Ernährungswandel weiter anhält, werden wir das Ziel der Vereinten Nationen nicht erreichen, den Hunger weltweit zu besiegen”, erklärt Benjamin </w:t>
      </w:r>
      <w:proofErr w:type="spellStart"/>
      <w:r w:rsidRPr="007A5D93">
        <w:rPr>
          <w:lang w:eastAsia="de-DE"/>
        </w:rPr>
        <w:t>Bodirsky</w:t>
      </w:r>
      <w:proofErr w:type="spellEnd"/>
      <w:r w:rsidRPr="007A5D93">
        <w:rPr>
          <w:lang w:eastAsia="de-DE"/>
        </w:rPr>
        <w:t xml:space="preserve"> vom PIK, Hauptautor der in </w:t>
      </w:r>
      <w:r w:rsidRPr="00767960">
        <w:rPr>
          <w:rStyle w:val="kursiv"/>
        </w:rPr>
        <w:t>Scientific Reports</w:t>
      </w:r>
      <w:r w:rsidRPr="007A5D93">
        <w:rPr>
          <w:lang w:eastAsia="de-DE"/>
        </w:rPr>
        <w:t xml:space="preserve"> veröffentlichten Studie. „Gleichzeitig wird unsere Zukunft von Übergewicht und Fettleibigkeit in einem extremen Ausmaß geprägt sein“, so </w:t>
      </w:r>
      <w:proofErr w:type="spellStart"/>
      <w:r w:rsidRPr="007A5D93">
        <w:rPr>
          <w:lang w:eastAsia="de-DE"/>
        </w:rPr>
        <w:t>Bodirsky</w:t>
      </w:r>
      <w:proofErr w:type="spellEnd"/>
      <w:r w:rsidRPr="007A5D93">
        <w:rPr>
          <w:lang w:eastAsia="de-DE"/>
        </w:rPr>
        <w:t>. Bis 2050 könnten 45 Prozent der Weltbevölkerung übergewichtig und davon 16 Prozent fettleibig sein – im Vergleich zu etwa 29 und 9 Prozent im Jahr 2010. Diese Entwicklung ist auf die unzureichende globale Verteilung von Nahrungsmitteln zurückzuführen sowie auf die Verlagerung der Ernährung von pflanzlicher, wenig verarbeiteter Kost hin zu unausgewogenen, hochverarbeiteten Speisen; Vollkornprodukte und Hülsenfrüchte werden durch tierisches Eiweiß, Zucker und Fett verdrängt.</w:t>
      </w:r>
    </w:p>
    <w:p w:rsidR="00BD3041" w:rsidRPr="007A5D93" w:rsidRDefault="00BD3041" w:rsidP="00BD3041">
      <w:pPr>
        <w:spacing w:before="100" w:beforeAutospacing="1" w:after="100" w:afterAutospacing="1"/>
        <w:rPr>
          <w:rFonts w:eastAsia="Times New Roman" w:cs="Times New Roman"/>
          <w:lang w:eastAsia="de-DE"/>
        </w:rPr>
      </w:pPr>
      <w:r w:rsidRPr="007A5D93">
        <w:rPr>
          <w:rFonts w:eastAsia="Times New Roman" w:cs="Times New Roman"/>
          <w:lang w:eastAsia="de-DE"/>
        </w:rPr>
        <w:t xml:space="preserve">Und das ist noch nicht alles, wie </w:t>
      </w:r>
      <w:proofErr w:type="spellStart"/>
      <w:r w:rsidRPr="007A5D93">
        <w:rPr>
          <w:rFonts w:eastAsia="Times New Roman" w:cs="Times New Roman"/>
          <w:lang w:eastAsia="de-DE"/>
        </w:rPr>
        <w:t>Bodirsky</w:t>
      </w:r>
      <w:proofErr w:type="spellEnd"/>
      <w:r w:rsidRPr="007A5D93">
        <w:rPr>
          <w:rFonts w:eastAsia="Times New Roman" w:cs="Times New Roman"/>
          <w:lang w:eastAsia="de-DE"/>
        </w:rPr>
        <w:t xml:space="preserve"> betont: „Die zunehmende Verschwendung von Nahrungsmitteln un</w:t>
      </w:r>
      <w:r w:rsidRPr="00767960">
        <w:rPr>
          <w:rStyle w:val="TextkrperZchn"/>
        </w:rPr>
        <w:t>d</w:t>
      </w:r>
      <w:r w:rsidRPr="007A5D93">
        <w:rPr>
          <w:rFonts w:eastAsia="Times New Roman" w:cs="Times New Roman"/>
          <w:lang w:eastAsia="de-DE"/>
        </w:rPr>
        <w:t xml:space="preserve"> der steigende Konsum von tierischem Eiweiß führen dazu, dass wir die Umweltfolgen unseres Agrarsystems nicht mehr beherrschen können. Ob Treibhausgase, Stickstoffverschmutzung oder Entwaldung: Wir gehen an die Belastungsgrenzen unseres Planeten – und darüber hinaus.“</w:t>
      </w:r>
    </w:p>
    <w:p w:rsidR="00BD3041" w:rsidRPr="007A5D93" w:rsidRDefault="00BD3041" w:rsidP="00767960">
      <w:pPr>
        <w:pStyle w:val="Head3"/>
      </w:pPr>
      <w:r w:rsidRPr="007A5D93">
        <w:t xml:space="preserve">Agrarsystem als </w:t>
      </w:r>
      <w:r w:rsidRPr="00767960">
        <w:t>wesentlicher</w:t>
      </w:r>
      <w:r w:rsidRPr="007A5D93">
        <w:t xml:space="preserve"> Faktor für Treibhausgasemissionen</w:t>
      </w:r>
    </w:p>
    <w:p w:rsidR="00BD3041" w:rsidRPr="007A5D93" w:rsidRDefault="00BD3041" w:rsidP="00767960">
      <w:pPr>
        <w:pStyle w:val="Textkrper"/>
        <w:rPr>
          <w:lang w:eastAsia="de-DE"/>
        </w:rPr>
      </w:pPr>
      <w:r w:rsidRPr="007A5D93">
        <w:rPr>
          <w:lang w:eastAsia="de-DE"/>
        </w:rPr>
        <w:t>Acker- und Weideland für die Nahrungsmittelerzeugung bedecken rund ein Drittel der globalen Landfläche; unser Ernährungssystem verursacht fast ein Drittel der globalen Treibhausgasemissionen. Die neue Studie zeigt, dass – wenn die derzeitigen Trends anhalten – die weltweite Nachfrage nach Nahrungsmitteln zwischen 2010 und 2050 um etwa 50 Prozent steigen wird, und die Nachfrage nach tierischen Produkten wie Fleisch und Milch wird sich ungefähr verdoppeln – eine Entwicklung, die immer mehr Land erfordern würde.</w:t>
      </w:r>
    </w:p>
    <w:p w:rsidR="00BD3041" w:rsidRPr="007A5D93" w:rsidRDefault="00BD3041" w:rsidP="00767960">
      <w:pPr>
        <w:pStyle w:val="Textkrper"/>
        <w:rPr>
          <w:lang w:eastAsia="de-DE"/>
        </w:rPr>
      </w:pPr>
      <w:r w:rsidRPr="007A5D93">
        <w:rPr>
          <w:lang w:eastAsia="de-DE"/>
        </w:rPr>
        <w:t>„Mit der gleichen Landfläche könnten wir aber viel mehr pflanzliche Nahrungsmittel für den Menschen produzieren als tierische“, erklärt Ko-Autor Alexander Popp, Leiter der Forschungsgruppe Landnutzungsmanagement am PIK. „Einfach gesagt: Wenn immer mehr Menschen immer mehr Fleisch essen, gibt es weniger pflanzliche Nahrung für die anderen – und wir brauchen mehr Land für die Nahrungsmittelproduktion, was dazu führen kann, dass Wälder abgeholzt werden. Die vermehrte Tierhaltung erhöht in der Folge den Ausstoß von Treibhausgasen.“</w:t>
      </w:r>
    </w:p>
    <w:p w:rsidR="00BD3041" w:rsidRPr="007A5D93" w:rsidRDefault="00BD3041" w:rsidP="00767960">
      <w:pPr>
        <w:pStyle w:val="Head3"/>
      </w:pPr>
      <w:r w:rsidRPr="007A5D93">
        <w:lastRenderedPageBreak/>
        <w:t>Globale Nahrungsmittelnachfrage: Verteilung und Bildung als Kernprobleme</w:t>
      </w:r>
    </w:p>
    <w:p w:rsidR="00BD3041" w:rsidRPr="007A5D93" w:rsidRDefault="00BD3041" w:rsidP="00767960">
      <w:pPr>
        <w:pStyle w:val="Textkrper"/>
        <w:rPr>
          <w:lang w:eastAsia="de-DE"/>
        </w:rPr>
      </w:pPr>
      <w:r w:rsidRPr="007A5D93">
        <w:rPr>
          <w:lang w:eastAsia="de-DE"/>
        </w:rPr>
        <w:t>Die Studie bietet erstmalig einen konsistenten Langzeitüberblick über einen anhaltenden globalen Ernährungswandel von 1965 bis 2100. Unter Verwendung eines Open-Source-Modells prognostizieren die Forschenden, wie viel des Nahrungsmittelbedarfs auf Faktoren wie Bevölkerungswachstum, Alterungsprozesse, zunehmende Körpergröße, wachsenden Body-</w:t>
      </w:r>
      <w:proofErr w:type="spellStart"/>
      <w:r w:rsidRPr="007A5D93">
        <w:rPr>
          <w:lang w:eastAsia="de-DE"/>
        </w:rPr>
        <w:t>Mass</w:t>
      </w:r>
      <w:proofErr w:type="spellEnd"/>
      <w:r w:rsidRPr="007A5D93">
        <w:rPr>
          <w:lang w:eastAsia="de-DE"/>
        </w:rPr>
        <w:t>-Index, abnehmende körperliche Aktivität und zunehmende Nahrungsmittelabfälle zurückzuführen ist.</w:t>
      </w:r>
    </w:p>
    <w:p w:rsidR="00BD3041" w:rsidRPr="007A5D93" w:rsidRDefault="00BD3041" w:rsidP="00767960">
      <w:pPr>
        <w:pStyle w:val="Textkrper"/>
        <w:rPr>
          <w:lang w:eastAsia="de-DE"/>
        </w:rPr>
      </w:pPr>
      <w:r w:rsidRPr="007A5D93">
        <w:rPr>
          <w:lang w:eastAsia="de-DE"/>
        </w:rPr>
        <w:t xml:space="preserve">Ko-Autor </w:t>
      </w:r>
      <w:proofErr w:type="spellStart"/>
      <w:r w:rsidRPr="007A5D93">
        <w:rPr>
          <w:lang w:eastAsia="de-DE"/>
        </w:rPr>
        <w:t>Prajal</w:t>
      </w:r>
      <w:proofErr w:type="spellEnd"/>
      <w:r w:rsidRPr="007A5D93">
        <w:rPr>
          <w:lang w:eastAsia="de-DE"/>
        </w:rPr>
        <w:t xml:space="preserve"> </w:t>
      </w:r>
      <w:proofErr w:type="spellStart"/>
      <w:r w:rsidRPr="007A5D93">
        <w:rPr>
          <w:lang w:eastAsia="de-DE"/>
        </w:rPr>
        <w:t>Pradhan</w:t>
      </w:r>
      <w:proofErr w:type="spellEnd"/>
      <w:r w:rsidRPr="007A5D93">
        <w:rPr>
          <w:lang w:eastAsia="de-DE"/>
        </w:rPr>
        <w:t xml:space="preserve"> vom PIK erklärt: „Es gibt genug Nahrung auf der Welt – das Problem ist, dass die armen Menschen auf unserem Planeten sich diese nicht leisten können. Und in den reichen Ländern spüren die Menschen die wirtschaftlichen und ökologischen Folgen der Verschwendung von Nahrungsmitteln nicht.“ Aber Umverteilung allein würde nicht ausreichen, denn sowohl ärmere als auch reichere Bevölkerungsschichten ernähren sich mangelhaft – es fehlt an Wissen über eine gesunde Lebens- und Ernährungsweise.</w:t>
      </w:r>
    </w:p>
    <w:p w:rsidR="00BD3041" w:rsidRPr="007A5D93" w:rsidRDefault="00BD3041" w:rsidP="002348C5">
      <w:pPr>
        <w:pStyle w:val="Head3"/>
      </w:pPr>
      <w:r w:rsidRPr="007A5D93">
        <w:t>Wie weckt man Appetit auf Veränderung?</w:t>
      </w:r>
    </w:p>
    <w:p w:rsidR="00BD3041" w:rsidRPr="00767960" w:rsidRDefault="00BD3041" w:rsidP="002348C5">
      <w:pPr>
        <w:pStyle w:val="Textkrper"/>
      </w:pPr>
      <w:r w:rsidRPr="00767960">
        <w:t xml:space="preserve">„Ungesunde Ernährung ist das weltweit größte Gesundheitsrisiko“, erklärt Ko-Autorin Sabine </w:t>
      </w:r>
      <w:proofErr w:type="spellStart"/>
      <w:r w:rsidRPr="00767960">
        <w:t>Gabrysch</w:t>
      </w:r>
      <w:proofErr w:type="spellEnd"/>
      <w:r w:rsidRPr="00767960">
        <w:t xml:space="preserve">, Leiterin der Forschungsabteilung </w:t>
      </w:r>
      <w:proofErr w:type="spellStart"/>
      <w:r w:rsidRPr="00767960">
        <w:t>Klimaresilienz</w:t>
      </w:r>
      <w:proofErr w:type="spellEnd"/>
      <w:r w:rsidRPr="00767960">
        <w:t xml:space="preserve"> am PIK. „Viele Länder in Asien und Afrika kämpfen derzeit noch mit Unterernährung und den damit verbundenen Gesundheitsproblemen. Gleichzeitig sind sie zunehmend auch mit Übergewicht und in der Folge mit einer steigenden Belastung durch Diabetes, Herz-Kreislauf-Erkrankungen und Krebs konfrontiert“, so </w:t>
      </w:r>
      <w:proofErr w:type="spellStart"/>
      <w:r w:rsidRPr="00767960">
        <w:t>Gabrysch</w:t>
      </w:r>
      <w:proofErr w:type="spellEnd"/>
      <w:r w:rsidRPr="00767960">
        <w:t>. Die neue Studie biete hier wertvolle Orientierung über den möglichen Entwicklungspfad verschiedener Länder und Regionen. Sie könne auch die dringend benötigte proaktive Politik hin zu einer nachhaltigen und gesunden Ernährung befördern.</w:t>
      </w:r>
    </w:p>
    <w:p w:rsidR="00BD3041" w:rsidRPr="007A5D93" w:rsidRDefault="00BD3041" w:rsidP="002348C5">
      <w:pPr>
        <w:pStyle w:val="Textkrper"/>
        <w:rPr>
          <w:rFonts w:eastAsia="Times New Roman" w:cs="Times New Roman"/>
          <w:lang w:eastAsia="de-DE"/>
        </w:rPr>
      </w:pPr>
      <w:r w:rsidRPr="007A5D93">
        <w:rPr>
          <w:rFonts w:eastAsia="Times New Roman" w:cs="Times New Roman"/>
          <w:lang w:eastAsia="de-DE"/>
        </w:rPr>
        <w:t>„Wir brauchen</w:t>
      </w:r>
      <w:r w:rsidRPr="00767960">
        <w:rPr>
          <w:rStyle w:val="TextkrperZchn"/>
        </w:rPr>
        <w:t xml:space="preserve"> dringend politische Maßnahmen, um eine Ernährungsumgebung zu schaffen, die gesundes Essverhalten fördert”, erklärt </w:t>
      </w:r>
      <w:proofErr w:type="spellStart"/>
      <w:r w:rsidRPr="00767960">
        <w:rPr>
          <w:rStyle w:val="TextkrperZchn"/>
        </w:rPr>
        <w:t>Gabrysch</w:t>
      </w:r>
      <w:proofErr w:type="spellEnd"/>
      <w:r w:rsidRPr="00767960">
        <w:rPr>
          <w:rStyle w:val="TextkrperZchn"/>
        </w:rPr>
        <w:t>. „Dazu könnten verbindliche Vorschriften gehören, welche die Werbung für ungesunde Snacks regulieren sowie nachhaltige und gesunde Mahlzeiten in Schulen</w:t>
      </w:r>
      <w:r w:rsidRPr="007A5D93">
        <w:rPr>
          <w:rFonts w:eastAsia="Times New Roman" w:cs="Times New Roman"/>
          <w:lang w:eastAsia="de-DE"/>
        </w:rPr>
        <w:t>, Krankenhäusern und Kantinen sicherstellen. Eine stärkere Konzentration auf Ernährungsbildung ist ebenfalls wichtig, von der Früherziehung im Kindergarten bis zur Beratung durch Ärzte und Krankenschwestern. Was wir essen ist von entscheidender Bedeutung – sowohl für unsere eigene Gesundheit als auch für die unseres Planeten.“</w:t>
      </w:r>
    </w:p>
    <w:p w:rsidR="00BD3041" w:rsidRPr="00BD3041" w:rsidRDefault="00BD3041" w:rsidP="00BD3041">
      <w:pPr>
        <w:pStyle w:val="Textkrper"/>
      </w:pPr>
      <w:r w:rsidRPr="002348C5">
        <w:rPr>
          <w:rStyle w:val="Fett"/>
        </w:rPr>
        <w:t xml:space="preserve">Quelle: PIK </w:t>
      </w:r>
      <w:r w:rsidRPr="007A5D93">
        <w:rPr>
          <w:rFonts w:eastAsia="Times New Roman" w:cs="Times New Roman"/>
          <w:lang w:eastAsia="de-DE"/>
        </w:rPr>
        <w:br/>
      </w:r>
      <w:hyperlink r:id="rId30" w:history="1">
        <w:r w:rsidRPr="0078117C">
          <w:rPr>
            <w:rStyle w:val="Hyperlink"/>
            <w:rFonts w:eastAsia="Times New Roman" w:cs="Times New Roman"/>
          </w:rPr>
          <w:t>https://www.pik-potsdam.de/de/aktuelles/nachrichten/unterernaehrt-uebergewichtig-vergeudet-neue-studie-zeigt-folgen-der-umstellung-globaler-ernaehrungsgewohnheiten-ueber-jahrzehnte</w:t>
        </w:r>
      </w:hyperlink>
    </w:p>
    <w:sectPr w:rsidR="00BD3041" w:rsidRPr="00BD3041" w:rsidSect="00104AE8">
      <w:footerReference w:type="default" r:id="rId31"/>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rbel-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025828">
    <w:pPr>
      <w:pStyle w:val="Fuzeile"/>
    </w:pPr>
    <w:r>
      <w:tab/>
    </w:r>
    <w:r w:rsidR="00FE4C9C">
      <w:fldChar w:fldCharType="begin"/>
    </w:r>
    <w:r w:rsidR="00FE4C9C">
      <w:instrText xml:space="preserve"> PAGE  \* ArabicDash  \* MERGEFORMAT </w:instrText>
    </w:r>
    <w:r w:rsidR="00FE4C9C">
      <w:fldChar w:fldCharType="separate"/>
    </w:r>
    <w:r>
      <w:rPr>
        <w:noProof/>
      </w:rPr>
      <w:t>- 8 -</w:t>
    </w:r>
    <w:r w:rsidR="00FE4C9C">
      <w:fldChar w:fldCharType="end"/>
    </w:r>
    <w:r w:rsidR="00106E8D">
      <w:ptab w:relativeTo="margin" w:alignment="right" w:leader="none"/>
    </w:r>
  </w:p>
  <w:p w:rsidR="00EA4484" w:rsidRDefault="00EA44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4B601B" w:rsidRDefault="004B601B" w:rsidP="004B601B">
      <w:pPr>
        <w:pStyle w:val="Funotentext"/>
      </w:pPr>
      <w:r>
        <w:rPr>
          <w:rStyle w:val="Funotenzeichen"/>
        </w:rPr>
        <w:footnoteRef/>
      </w:r>
      <w:r>
        <w:t xml:space="preserve"> Ein globaler Ernährungswandel wurde erstmals von Barry M. </w:t>
      </w:r>
      <w:proofErr w:type="spellStart"/>
      <w:r>
        <w:t>Popkin</w:t>
      </w:r>
      <w:proofErr w:type="spellEnd"/>
      <w:r>
        <w:t xml:space="preserve"> beschrieben (1993). Dieser prognostizierte neben dem demographischen Übergang und einer Reduzierung der Sterberate auch eine wachsende Überernährung der Weltbevölke</w:t>
      </w:r>
      <w:bookmarkStart w:id="1" w:name="_GoBack"/>
      <w:bookmarkEnd w:id="1"/>
      <w:r>
        <w:t xml:space="preserve">rung – mit schwerwiegenden gesundheitlichen Folgen („degenerative </w:t>
      </w:r>
      <w:proofErr w:type="spellStart"/>
      <w:r>
        <w:t>diseases</w:t>
      </w:r>
      <w:proofErr w:type="spellEnd"/>
      <w:r>
        <w:t>“).</w:t>
      </w:r>
    </w:p>
  </w:footnote>
  <w:footnote w:id="2">
    <w:p w:rsidR="004B601B" w:rsidRDefault="004B601B" w:rsidP="004B601B">
      <w:pPr>
        <w:pStyle w:val="Funotentext"/>
      </w:pPr>
      <w:r>
        <w:rPr>
          <w:rStyle w:val="Funotenzeichen"/>
        </w:rPr>
        <w:footnoteRef/>
      </w:r>
      <w:r>
        <w:t xml:space="preserve"> </w:t>
      </w:r>
      <w:r w:rsidRPr="00CE2D98">
        <w:t xml:space="preserve">Benjamin Leon </w:t>
      </w:r>
      <w:proofErr w:type="spellStart"/>
      <w:r w:rsidRPr="00CE2D98">
        <w:t>Bodirsky</w:t>
      </w:r>
      <w:proofErr w:type="spellEnd"/>
      <w:r w:rsidRPr="00CE2D98">
        <w:t xml:space="preserve"> et al: </w:t>
      </w:r>
      <w:r w:rsidRPr="00CE2D98">
        <w:rPr>
          <w:rFonts w:eastAsia="Corbel-Bold" w:cs="Corbel-Bold"/>
        </w:rPr>
        <w:t xml:space="preserve">The </w:t>
      </w:r>
      <w:proofErr w:type="spellStart"/>
      <w:r w:rsidRPr="00CE2D98">
        <w:rPr>
          <w:rFonts w:eastAsia="Corbel-Bold" w:cs="Corbel-Bold"/>
        </w:rPr>
        <w:t>ongoing</w:t>
      </w:r>
      <w:proofErr w:type="spellEnd"/>
      <w:r w:rsidRPr="00CE2D98">
        <w:rPr>
          <w:rFonts w:eastAsia="Corbel-Bold" w:cs="Corbel-Bold"/>
        </w:rPr>
        <w:t xml:space="preserve"> </w:t>
      </w:r>
      <w:proofErr w:type="spellStart"/>
      <w:r w:rsidRPr="00CE2D98">
        <w:rPr>
          <w:rFonts w:eastAsia="Corbel-Bold" w:cs="Corbel-Bold"/>
        </w:rPr>
        <w:t>nutrition</w:t>
      </w:r>
      <w:proofErr w:type="spellEnd"/>
      <w:r w:rsidRPr="00CE2D98">
        <w:rPr>
          <w:rFonts w:eastAsia="Corbel-Bold" w:cs="Corbel-Bold"/>
        </w:rPr>
        <w:t xml:space="preserve"> </w:t>
      </w:r>
      <w:proofErr w:type="spellStart"/>
      <w:r w:rsidRPr="00CE2D98">
        <w:rPr>
          <w:rFonts w:eastAsia="Corbel-Bold" w:cs="Corbel-Bold"/>
        </w:rPr>
        <w:t>transition</w:t>
      </w:r>
      <w:proofErr w:type="spellEnd"/>
      <w:r>
        <w:rPr>
          <w:rFonts w:eastAsia="Corbel-Bold" w:cs="Corbel-Bold"/>
        </w:rPr>
        <w:t xml:space="preserve"> </w:t>
      </w:r>
      <w:proofErr w:type="spellStart"/>
      <w:r w:rsidRPr="00CE2D98">
        <w:rPr>
          <w:rFonts w:eastAsia="Corbel-Bold" w:cs="Corbel-Bold"/>
        </w:rPr>
        <w:t>t</w:t>
      </w:r>
      <w:r>
        <w:rPr>
          <w:rFonts w:eastAsia="Corbel-Bold" w:cs="Corbel-Bold"/>
        </w:rPr>
        <w:t>o</w:t>
      </w:r>
      <w:r w:rsidRPr="00CE2D98">
        <w:rPr>
          <w:rFonts w:eastAsia="Corbel-Bold" w:cs="Corbel-Bold"/>
        </w:rPr>
        <w:t>warts</w:t>
      </w:r>
      <w:proofErr w:type="spellEnd"/>
      <w:r w:rsidRPr="00CE2D98">
        <w:rPr>
          <w:rFonts w:eastAsia="Corbel-Bold" w:cs="Corbel-Bold"/>
        </w:rPr>
        <w:t xml:space="preserve"> </w:t>
      </w:r>
      <w:proofErr w:type="spellStart"/>
      <w:r w:rsidRPr="00CE2D98">
        <w:rPr>
          <w:rFonts w:eastAsia="Corbel-Bold" w:cs="Corbel-Bold"/>
        </w:rPr>
        <w:t>long</w:t>
      </w:r>
      <w:r w:rsidRPr="00CE2D98">
        <w:rPr>
          <w:rFonts w:ascii="Cambria Math" w:eastAsia="Corbel-Bold" w:hAnsi="Cambria Math" w:cs="Cambria Math"/>
        </w:rPr>
        <w:t>‑</w:t>
      </w:r>
      <w:r w:rsidRPr="00CE2D98">
        <w:rPr>
          <w:rFonts w:eastAsia="Corbel-Bold" w:cs="Corbel-Bold"/>
        </w:rPr>
        <w:t>term</w:t>
      </w:r>
      <w:proofErr w:type="spellEnd"/>
      <w:r w:rsidRPr="00CE2D98">
        <w:rPr>
          <w:rFonts w:eastAsia="Corbel-Bold" w:cs="Corbel-Bold"/>
        </w:rPr>
        <w:t xml:space="preserve"> </w:t>
      </w:r>
      <w:proofErr w:type="spellStart"/>
      <w:r w:rsidRPr="00CE2D98">
        <w:rPr>
          <w:rFonts w:eastAsia="Corbel-Bold" w:cs="Corbel-Bold"/>
        </w:rPr>
        <w:t>targets</w:t>
      </w:r>
      <w:proofErr w:type="spellEnd"/>
      <w:r>
        <w:rPr>
          <w:rFonts w:eastAsia="Corbel-Bold" w:cs="Corbel-Bold"/>
        </w:rPr>
        <w:t xml:space="preserve"> </w:t>
      </w:r>
      <w:proofErr w:type="spellStart"/>
      <w:r w:rsidRPr="00CE2D98">
        <w:rPr>
          <w:rFonts w:eastAsia="Corbel-Bold" w:cs="Corbel-Bold"/>
        </w:rPr>
        <w:t>for</w:t>
      </w:r>
      <w:proofErr w:type="spellEnd"/>
      <w:r w:rsidRPr="00CE2D98">
        <w:rPr>
          <w:rFonts w:eastAsia="Corbel-Bold" w:cs="Corbel-Bold"/>
        </w:rPr>
        <w:t xml:space="preserve"> </w:t>
      </w:r>
      <w:proofErr w:type="spellStart"/>
      <w:r w:rsidRPr="00CE2D98">
        <w:rPr>
          <w:rFonts w:eastAsia="Corbel-Bold" w:cs="Corbel-Bold"/>
        </w:rPr>
        <w:t>food</w:t>
      </w:r>
      <w:proofErr w:type="spellEnd"/>
      <w:r w:rsidRPr="00CE2D98">
        <w:rPr>
          <w:rFonts w:eastAsia="Corbel-Bold" w:cs="Corbel-Bold"/>
        </w:rPr>
        <w:t xml:space="preserve"> </w:t>
      </w:r>
      <w:proofErr w:type="spellStart"/>
      <w:r w:rsidRPr="00CE2D98">
        <w:rPr>
          <w:rFonts w:eastAsia="Corbel-Bold" w:cs="Corbel-Bold"/>
        </w:rPr>
        <w:t>security</w:t>
      </w:r>
      <w:proofErr w:type="spellEnd"/>
      <w:r w:rsidRPr="00CE2D98">
        <w:rPr>
          <w:rFonts w:eastAsia="Corbel-Bold" w:cs="Corbel-Bold"/>
        </w:rPr>
        <w:t xml:space="preserve">, </w:t>
      </w:r>
      <w:proofErr w:type="spellStart"/>
      <w:r w:rsidRPr="00CE2D98">
        <w:rPr>
          <w:rFonts w:eastAsia="Corbel-Bold" w:cs="Corbel-Bold"/>
        </w:rPr>
        <w:t>public</w:t>
      </w:r>
      <w:proofErr w:type="spellEnd"/>
      <w:r w:rsidRPr="00CE2D98">
        <w:rPr>
          <w:rFonts w:eastAsia="Corbel-Bold" w:cs="Corbel-Bold"/>
        </w:rPr>
        <w:t xml:space="preserve"> </w:t>
      </w:r>
      <w:proofErr w:type="spellStart"/>
      <w:r w:rsidRPr="00CE2D98">
        <w:rPr>
          <w:rFonts w:eastAsia="Corbel-Bold" w:cs="Corbel-Bold"/>
        </w:rPr>
        <w:t>health</w:t>
      </w:r>
      <w:proofErr w:type="spellEnd"/>
      <w:r>
        <w:rPr>
          <w:rFonts w:eastAsia="Corbel-Bold" w:cs="Corbel-Bold"/>
        </w:rPr>
        <w:t xml:space="preserve"> </w:t>
      </w:r>
      <w:proofErr w:type="spellStart"/>
      <w:r w:rsidRPr="00CE2D98">
        <w:rPr>
          <w:rFonts w:eastAsia="Corbel-Bold" w:cs="Corbel-Bold"/>
        </w:rPr>
        <w:t>and</w:t>
      </w:r>
      <w:proofErr w:type="spellEnd"/>
      <w:r w:rsidRPr="00CE2D98">
        <w:rPr>
          <w:rFonts w:eastAsia="Corbel-Bold" w:cs="Corbel-Bold"/>
        </w:rPr>
        <w:t xml:space="preserve"> environmental </w:t>
      </w:r>
      <w:proofErr w:type="spellStart"/>
      <w:r w:rsidRPr="00CE2D98">
        <w:rPr>
          <w:rFonts w:eastAsia="Corbel-Bold" w:cs="Corbel-Bold"/>
        </w:rPr>
        <w:t>protection</w:t>
      </w:r>
      <w:proofErr w:type="spellEnd"/>
      <w:r>
        <w:rPr>
          <w:rFonts w:eastAsia="Corbel-Bold" w:cs="Corbel-Bold"/>
        </w:rPr>
        <w:t xml:space="preserve">. Scientific-Reports, 18.11. 2020. </w:t>
      </w:r>
      <w:hyperlink r:id="rId1" w:history="1">
        <w:r w:rsidRPr="002F1B24">
          <w:rPr>
            <w:rStyle w:val="Hyperlink"/>
            <w:rFonts w:eastAsia="Corbel-Bold" w:cs="Corbel-Bold"/>
          </w:rPr>
          <w:t>https://www.nature.com/articles/s41598-020-75213-3</w:t>
        </w:r>
      </w:hyperlink>
    </w:p>
  </w:footnote>
  <w:footnote w:id="3">
    <w:p w:rsidR="00EE02E8" w:rsidRDefault="00EE02E8" w:rsidP="00EE02E8">
      <w:pPr>
        <w:pStyle w:val="Funotentext"/>
      </w:pPr>
      <w:r>
        <w:rPr>
          <w:rStyle w:val="Funotenzeichen"/>
        </w:rPr>
        <w:footnoteRef/>
      </w:r>
      <w:r>
        <w:t xml:space="preserve"> </w:t>
      </w:r>
      <w:r w:rsidRPr="00CE2D98">
        <w:t xml:space="preserve">Benjamin Leon </w:t>
      </w:r>
      <w:proofErr w:type="spellStart"/>
      <w:r w:rsidRPr="00CE2D98">
        <w:t>Bodirsky</w:t>
      </w:r>
      <w:proofErr w:type="spellEnd"/>
      <w:r w:rsidRPr="00CE2D98">
        <w:t xml:space="preserve"> et al: </w:t>
      </w:r>
      <w:r w:rsidRPr="00CE2D98">
        <w:rPr>
          <w:rFonts w:eastAsia="Corbel-Bold" w:cs="Corbel-Bold"/>
        </w:rPr>
        <w:t xml:space="preserve">The </w:t>
      </w:r>
      <w:proofErr w:type="spellStart"/>
      <w:r w:rsidRPr="00CE2D98">
        <w:rPr>
          <w:rFonts w:eastAsia="Corbel-Bold" w:cs="Corbel-Bold"/>
        </w:rPr>
        <w:t>ongoing</w:t>
      </w:r>
      <w:proofErr w:type="spellEnd"/>
      <w:r w:rsidRPr="00CE2D98">
        <w:rPr>
          <w:rFonts w:eastAsia="Corbel-Bold" w:cs="Corbel-Bold"/>
        </w:rPr>
        <w:t xml:space="preserve"> </w:t>
      </w:r>
      <w:proofErr w:type="spellStart"/>
      <w:r w:rsidRPr="00CE2D98">
        <w:rPr>
          <w:rFonts w:eastAsia="Corbel-Bold" w:cs="Corbel-Bold"/>
        </w:rPr>
        <w:t>nutrition</w:t>
      </w:r>
      <w:proofErr w:type="spellEnd"/>
      <w:r w:rsidRPr="00CE2D98">
        <w:rPr>
          <w:rFonts w:eastAsia="Corbel-Bold" w:cs="Corbel-Bold"/>
        </w:rPr>
        <w:t xml:space="preserve"> </w:t>
      </w:r>
      <w:proofErr w:type="spellStart"/>
      <w:r w:rsidRPr="00CE2D98">
        <w:rPr>
          <w:rFonts w:eastAsia="Corbel-Bold" w:cs="Corbel-Bold"/>
        </w:rPr>
        <w:t>transition</w:t>
      </w:r>
      <w:proofErr w:type="spellEnd"/>
      <w:r>
        <w:rPr>
          <w:rFonts w:eastAsia="Corbel-Bold" w:cs="Corbel-Bold"/>
        </w:rPr>
        <w:t xml:space="preserve"> </w:t>
      </w:r>
      <w:proofErr w:type="spellStart"/>
      <w:r w:rsidRPr="00CE2D98">
        <w:rPr>
          <w:rFonts w:eastAsia="Corbel-Bold" w:cs="Corbel-Bold"/>
        </w:rPr>
        <w:t>t</w:t>
      </w:r>
      <w:r>
        <w:rPr>
          <w:rFonts w:eastAsia="Corbel-Bold" w:cs="Corbel-Bold"/>
        </w:rPr>
        <w:t>o</w:t>
      </w:r>
      <w:r w:rsidRPr="00CE2D98">
        <w:rPr>
          <w:rFonts w:eastAsia="Corbel-Bold" w:cs="Corbel-Bold"/>
        </w:rPr>
        <w:t>war</w:t>
      </w:r>
      <w:r>
        <w:rPr>
          <w:rFonts w:eastAsia="Corbel-Bold" w:cs="Corbel-Bold"/>
        </w:rPr>
        <w:t>d</w:t>
      </w:r>
      <w:r w:rsidRPr="00CE2D98">
        <w:rPr>
          <w:rFonts w:eastAsia="Corbel-Bold" w:cs="Corbel-Bold"/>
        </w:rPr>
        <w:t>s</w:t>
      </w:r>
      <w:proofErr w:type="spellEnd"/>
      <w:r w:rsidRPr="00CE2D98">
        <w:rPr>
          <w:rFonts w:eastAsia="Corbel-Bold" w:cs="Corbel-Bold"/>
        </w:rPr>
        <w:t xml:space="preserve"> </w:t>
      </w:r>
      <w:proofErr w:type="spellStart"/>
      <w:r w:rsidRPr="00CE2D98">
        <w:rPr>
          <w:rFonts w:eastAsia="Corbel-Bold" w:cs="Corbel-Bold"/>
        </w:rPr>
        <w:t>long</w:t>
      </w:r>
      <w:r w:rsidRPr="00CE2D98">
        <w:rPr>
          <w:rFonts w:ascii="Cambria Math" w:eastAsia="Corbel-Bold" w:hAnsi="Cambria Math" w:cs="Cambria Math"/>
        </w:rPr>
        <w:t>‑</w:t>
      </w:r>
      <w:r w:rsidRPr="00CE2D98">
        <w:rPr>
          <w:rFonts w:eastAsia="Corbel-Bold" w:cs="Corbel-Bold"/>
        </w:rPr>
        <w:t>term</w:t>
      </w:r>
      <w:proofErr w:type="spellEnd"/>
      <w:r w:rsidRPr="00CE2D98">
        <w:rPr>
          <w:rFonts w:eastAsia="Corbel-Bold" w:cs="Corbel-Bold"/>
        </w:rPr>
        <w:t xml:space="preserve"> </w:t>
      </w:r>
      <w:proofErr w:type="spellStart"/>
      <w:r w:rsidRPr="00CE2D98">
        <w:rPr>
          <w:rFonts w:eastAsia="Corbel-Bold" w:cs="Corbel-Bold"/>
        </w:rPr>
        <w:t>targets</w:t>
      </w:r>
      <w:proofErr w:type="spellEnd"/>
      <w:r>
        <w:rPr>
          <w:rFonts w:eastAsia="Corbel-Bold" w:cs="Corbel-Bold"/>
        </w:rPr>
        <w:t xml:space="preserve"> </w:t>
      </w:r>
      <w:proofErr w:type="spellStart"/>
      <w:r w:rsidRPr="00CE2D98">
        <w:rPr>
          <w:rFonts w:eastAsia="Corbel-Bold" w:cs="Corbel-Bold"/>
        </w:rPr>
        <w:t>for</w:t>
      </w:r>
      <w:proofErr w:type="spellEnd"/>
      <w:r w:rsidRPr="00CE2D98">
        <w:rPr>
          <w:rFonts w:eastAsia="Corbel-Bold" w:cs="Corbel-Bold"/>
        </w:rPr>
        <w:t xml:space="preserve"> </w:t>
      </w:r>
      <w:proofErr w:type="spellStart"/>
      <w:r w:rsidRPr="00CE2D98">
        <w:rPr>
          <w:rFonts w:eastAsia="Corbel-Bold" w:cs="Corbel-Bold"/>
        </w:rPr>
        <w:t>food</w:t>
      </w:r>
      <w:proofErr w:type="spellEnd"/>
      <w:r w:rsidRPr="00CE2D98">
        <w:rPr>
          <w:rFonts w:eastAsia="Corbel-Bold" w:cs="Corbel-Bold"/>
        </w:rPr>
        <w:t xml:space="preserve"> </w:t>
      </w:r>
      <w:proofErr w:type="spellStart"/>
      <w:r w:rsidRPr="00CE2D98">
        <w:rPr>
          <w:rFonts w:eastAsia="Corbel-Bold" w:cs="Corbel-Bold"/>
        </w:rPr>
        <w:t>security</w:t>
      </w:r>
      <w:proofErr w:type="spellEnd"/>
      <w:r w:rsidRPr="00CE2D98">
        <w:rPr>
          <w:rFonts w:eastAsia="Corbel-Bold" w:cs="Corbel-Bold"/>
        </w:rPr>
        <w:t xml:space="preserve">, </w:t>
      </w:r>
      <w:proofErr w:type="spellStart"/>
      <w:r w:rsidRPr="00CE2D98">
        <w:rPr>
          <w:rFonts w:eastAsia="Corbel-Bold" w:cs="Corbel-Bold"/>
        </w:rPr>
        <w:t>public</w:t>
      </w:r>
      <w:proofErr w:type="spellEnd"/>
      <w:r w:rsidRPr="00CE2D98">
        <w:rPr>
          <w:rFonts w:eastAsia="Corbel-Bold" w:cs="Corbel-Bold"/>
        </w:rPr>
        <w:t xml:space="preserve"> </w:t>
      </w:r>
      <w:proofErr w:type="spellStart"/>
      <w:r w:rsidRPr="00CE2D98">
        <w:rPr>
          <w:rFonts w:eastAsia="Corbel-Bold" w:cs="Corbel-Bold"/>
        </w:rPr>
        <w:t>health</w:t>
      </w:r>
      <w:proofErr w:type="spellEnd"/>
      <w:r>
        <w:rPr>
          <w:rFonts w:eastAsia="Corbel-Bold" w:cs="Corbel-Bold"/>
        </w:rPr>
        <w:t xml:space="preserve"> </w:t>
      </w:r>
      <w:proofErr w:type="spellStart"/>
      <w:r w:rsidRPr="00CE2D98">
        <w:rPr>
          <w:rFonts w:eastAsia="Corbel-Bold" w:cs="Corbel-Bold"/>
        </w:rPr>
        <w:t>and</w:t>
      </w:r>
      <w:proofErr w:type="spellEnd"/>
      <w:r w:rsidRPr="00CE2D98">
        <w:rPr>
          <w:rFonts w:eastAsia="Corbel-Bold" w:cs="Corbel-Bold"/>
        </w:rPr>
        <w:t xml:space="preserve"> environmental </w:t>
      </w:r>
      <w:proofErr w:type="spellStart"/>
      <w:r w:rsidRPr="00CE2D98">
        <w:rPr>
          <w:rFonts w:eastAsia="Corbel-Bold" w:cs="Corbel-Bold"/>
        </w:rPr>
        <w:t>protection</w:t>
      </w:r>
      <w:proofErr w:type="spellEnd"/>
      <w:r>
        <w:rPr>
          <w:rFonts w:eastAsia="Corbel-Bold" w:cs="Corbel-Bold"/>
        </w:rPr>
        <w:t xml:space="preserve">. Scientific-Reports, 18.11.2020. </w:t>
      </w:r>
      <w:hyperlink r:id="rId2" w:history="1">
        <w:r w:rsidRPr="002F1B24">
          <w:rPr>
            <w:rStyle w:val="Hyperlink"/>
            <w:rFonts w:eastAsia="Corbel-Bold" w:cs="Corbel-Bold"/>
          </w:rPr>
          <w:t>https://www.nature.com/articles/s41598-020-75213-3</w:t>
        </w:r>
      </w:hyperlink>
    </w:p>
  </w:footnote>
  <w:footnote w:id="4">
    <w:p w:rsidR="00BD3041" w:rsidRDefault="00BD3041" w:rsidP="00BD3041">
      <w:pPr>
        <w:pStyle w:val="Funotentext"/>
      </w:pPr>
      <w:r>
        <w:rPr>
          <w:rStyle w:val="Funotenzeichen"/>
        </w:rPr>
        <w:footnoteRef/>
      </w:r>
      <w:r>
        <w:t xml:space="preserve"> 1 </w:t>
      </w:r>
      <w:proofErr w:type="spellStart"/>
      <w:r>
        <w:t>Exajoule</w:t>
      </w:r>
      <w:proofErr w:type="spellEnd"/>
      <w:r>
        <w:t xml:space="preserve"> = 1 Trillion Joule oder auch 4,184 Trillion Kalorien.</w:t>
      </w:r>
    </w:p>
  </w:footnote>
  <w:footnote w:id="5">
    <w:p w:rsidR="00BD3041" w:rsidRDefault="00BD3041" w:rsidP="00BD3041">
      <w:pPr>
        <w:pStyle w:val="Funotentext"/>
      </w:pPr>
      <w:r>
        <w:rPr>
          <w:rStyle w:val="Funotenzeichen"/>
        </w:rPr>
        <w:footnoteRef/>
      </w:r>
      <w:r>
        <w:t xml:space="preserve"> Kalorienreiche, aber nährstoffarme Lebensmittel wie Weißmehl, Haushaltszucker, Nudeln etc.</w:t>
      </w:r>
    </w:p>
  </w:footnote>
  <w:footnote w:id="6">
    <w:p w:rsidR="00BD3041" w:rsidRDefault="00BD3041" w:rsidP="00BD3041">
      <w:pPr>
        <w:pStyle w:val="Funotentext"/>
      </w:pPr>
      <w:r>
        <w:rPr>
          <w:rStyle w:val="Funotenzeichen"/>
        </w:rPr>
        <w:footnoteRef/>
      </w:r>
      <w:r>
        <w:t xml:space="preserve"> Text des Potsdamer Instituts für Klimafolgenforschung. Quelle siehe unten.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10"/>
  </w:num>
  <w:num w:numId="14">
    <w:abstractNumId w:val="13"/>
  </w:num>
  <w:num w:numId="15">
    <w:abstractNumId w:val="11"/>
  </w:num>
  <w:num w:numId="16">
    <w:abstractNumId w:val="14"/>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25828"/>
    <w:rsid w:val="0005381C"/>
    <w:rsid w:val="000552C3"/>
    <w:rsid w:val="000873AA"/>
    <w:rsid w:val="000F2AF5"/>
    <w:rsid w:val="000F40E4"/>
    <w:rsid w:val="00104AE8"/>
    <w:rsid w:val="00106E8D"/>
    <w:rsid w:val="00131F16"/>
    <w:rsid w:val="00140F45"/>
    <w:rsid w:val="00164859"/>
    <w:rsid w:val="00194288"/>
    <w:rsid w:val="001A629E"/>
    <w:rsid w:val="001B78FC"/>
    <w:rsid w:val="001E64F6"/>
    <w:rsid w:val="002348C5"/>
    <w:rsid w:val="00241B8E"/>
    <w:rsid w:val="00270876"/>
    <w:rsid w:val="002976F9"/>
    <w:rsid w:val="002A4FA3"/>
    <w:rsid w:val="002D329F"/>
    <w:rsid w:val="002F0429"/>
    <w:rsid w:val="00313125"/>
    <w:rsid w:val="003862BC"/>
    <w:rsid w:val="003A2BEF"/>
    <w:rsid w:val="00411491"/>
    <w:rsid w:val="00494DFD"/>
    <w:rsid w:val="004B5030"/>
    <w:rsid w:val="004B601B"/>
    <w:rsid w:val="004D026E"/>
    <w:rsid w:val="005047B2"/>
    <w:rsid w:val="00520C4B"/>
    <w:rsid w:val="005440CF"/>
    <w:rsid w:val="0055329C"/>
    <w:rsid w:val="00567FC3"/>
    <w:rsid w:val="005E0E83"/>
    <w:rsid w:val="00615863"/>
    <w:rsid w:val="00641717"/>
    <w:rsid w:val="006431A6"/>
    <w:rsid w:val="00645B28"/>
    <w:rsid w:val="006639B8"/>
    <w:rsid w:val="0067244F"/>
    <w:rsid w:val="006D45A4"/>
    <w:rsid w:val="00712FD2"/>
    <w:rsid w:val="00744DE9"/>
    <w:rsid w:val="00767960"/>
    <w:rsid w:val="007A1550"/>
    <w:rsid w:val="007E6565"/>
    <w:rsid w:val="007E78B2"/>
    <w:rsid w:val="0084238C"/>
    <w:rsid w:val="0086350F"/>
    <w:rsid w:val="008911F6"/>
    <w:rsid w:val="008C793F"/>
    <w:rsid w:val="008E74FD"/>
    <w:rsid w:val="00926DA4"/>
    <w:rsid w:val="009664B4"/>
    <w:rsid w:val="00970051"/>
    <w:rsid w:val="00972AAA"/>
    <w:rsid w:val="009E7E67"/>
    <w:rsid w:val="00A34FD0"/>
    <w:rsid w:val="00A357C1"/>
    <w:rsid w:val="00A43AB9"/>
    <w:rsid w:val="00A53E41"/>
    <w:rsid w:val="00AB22F5"/>
    <w:rsid w:val="00AD735F"/>
    <w:rsid w:val="00B11D6D"/>
    <w:rsid w:val="00BD17F2"/>
    <w:rsid w:val="00BD3041"/>
    <w:rsid w:val="00BD63C7"/>
    <w:rsid w:val="00BF0D99"/>
    <w:rsid w:val="00BF2140"/>
    <w:rsid w:val="00BF5221"/>
    <w:rsid w:val="00BF5A06"/>
    <w:rsid w:val="00C11E37"/>
    <w:rsid w:val="00C54B4B"/>
    <w:rsid w:val="00C5520C"/>
    <w:rsid w:val="00C90BDA"/>
    <w:rsid w:val="00CE413C"/>
    <w:rsid w:val="00CF4DA0"/>
    <w:rsid w:val="00D01297"/>
    <w:rsid w:val="00D7534A"/>
    <w:rsid w:val="00DB7BAE"/>
    <w:rsid w:val="00DD4EA0"/>
    <w:rsid w:val="00E75752"/>
    <w:rsid w:val="00E851D3"/>
    <w:rsid w:val="00E941A7"/>
    <w:rsid w:val="00EA270F"/>
    <w:rsid w:val="00EA4484"/>
    <w:rsid w:val="00EE02E8"/>
    <w:rsid w:val="00F337BA"/>
    <w:rsid w:val="00F51E60"/>
    <w:rsid w:val="00F609E1"/>
    <w:rsid w:val="00F65B78"/>
    <w:rsid w:val="00F65EAC"/>
    <w:rsid w:val="00F84D69"/>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
    <w:name w:val="kursiv"/>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EE02E8"/>
    <w:pPr>
      <w:spacing w:before="120" w:after="480"/>
      <w:jc w:val="center"/>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7E78B2"/>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paragraph" w:customStyle="1" w:styleId="Head3">
    <w:name w:val="Head 3"/>
    <w:basedOn w:val="ABHead1"/>
    <w:qFormat/>
    <w:rsid w:val="00767960"/>
    <w:pPr>
      <w:keepNext/>
      <w:keepLines/>
      <w:suppressAutoHyphens/>
      <w:spacing w:before="100" w:beforeAutospacing="1" w:after="120"/>
      <w:jc w:val="left"/>
      <w:outlineLvl w:val="2"/>
    </w:pPr>
    <w:rPr>
      <w:rFonts w:eastAsia="Times New Roman" w:cs="Times New Roman"/>
      <w:bCs w:val="0"/>
      <w:sz w:val="28"/>
      <w:szCs w:val="27"/>
      <w:lang w:eastAsia="de-DE"/>
    </w:rPr>
  </w:style>
  <w:style w:type="character" w:customStyle="1" w:styleId="ABHead1Zchn">
    <w:name w:val="AB_Head 1 Zchn"/>
    <w:basedOn w:val="Absatz-Standardschriftart"/>
    <w:link w:val="ABHead1"/>
    <w:rsid w:val="007E78B2"/>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BD3041"/>
    <w:pPr>
      <w:spacing w:before="360" w:after="24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BD304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aerztezeitung.de/Wirtschaft/Unternehmen-reagieren-auf-Zuckersteuer-405775.html" TargetMode="External"/><Relationship Id="rId26" Type="http://schemas.openxmlformats.org/officeDocument/2006/relationships/hyperlink" Target="https://shop.welthaus.de" TargetMode="External"/><Relationship Id="rId3" Type="http://schemas.openxmlformats.org/officeDocument/2006/relationships/styles" Target="styles.xml"/><Relationship Id="rId21" Type="http://schemas.openxmlformats.org/officeDocument/2006/relationships/hyperlink" Target="https://www.youtube.com/watch?v=dIhnkSHcudQ"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who.int/nutrition/topics/seminar_9June2017/en/" TargetMode="External"/><Relationship Id="rId25" Type="http://schemas.openxmlformats.org/officeDocument/2006/relationships/hyperlink" Target="http://www.welthaus.de/bildung/welternaehrung-neu-denken/"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schulentwicklung.nrw.de/lehrplaene/lehrplan/180/KLP_GOSt_Geographie.pdf" TargetMode="External"/><Relationship Id="rId20" Type="http://schemas.openxmlformats.org/officeDocument/2006/relationships/hyperlink" Target="https://www.aerzteblatt.de/nachrichten/115326/Junkfood-Gruene-fuer-Werbeverbot-nach-britischem-Vorbild"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hop.welthaus.d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hyperlink" Target="http://www.welthaus.de/bildung/welternaehrung-neu-denken/" TargetMode="External"/><Relationship Id="rId28"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hyperlink" Target="https://www.bmel.de/DE/themen/ernaehrung/gesunde-ernaehrung/reduktionsstrategie/reduktionsstrategie_node.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image" Target="media/image6.jpeg"/><Relationship Id="rId27" Type="http://schemas.openxmlformats.org/officeDocument/2006/relationships/chart" Target="charts/chart1.xml"/><Relationship Id="rId30" Type="http://schemas.openxmlformats.org/officeDocument/2006/relationships/hyperlink" Target="https://www.pik-potsdam.de/de/aktuelles/nachrichten/unterernaehrt-uebergewichtig-vergeudet-neue-studie-zeigt-folgen-der-umstellung-globaler-ernaehrungsgewohnheiten-ueber-jahrzehnte"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nature.com/articles/s41598-020-75213-3" TargetMode="External"/><Relationship Id="rId1" Type="http://schemas.openxmlformats.org/officeDocument/2006/relationships/hyperlink" Target="https://www.nature.com/articles/s41598-020-75213-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111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de-DE" sz="1600" baseline="0">
                <a:solidFill>
                  <a:srgbClr val="C00000"/>
                </a:solidFill>
                <a:latin typeface="Calibri" panose="020F0502020204030204" pitchFamily="34" charset="0"/>
                <a:ea typeface="Verdana" panose="020B0604030504040204" pitchFamily="34" charset="0"/>
              </a:rPr>
              <a:t>Erwartete Folgen des Ernährungswandels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Tabelle1!$B$1</c:f>
              <c:strCache>
                <c:ptCount val="1"/>
                <c:pt idx="0">
                  <c:v>Millionen Unterernährte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Tabelle1!$A$2:$A$5</c:f>
              <c:numCache>
                <c:formatCode>General</c:formatCode>
                <c:ptCount val="4"/>
                <c:pt idx="0">
                  <c:v>2010</c:v>
                </c:pt>
                <c:pt idx="1">
                  <c:v>2050</c:v>
                </c:pt>
                <c:pt idx="2">
                  <c:v>2100</c:v>
                </c:pt>
              </c:numCache>
            </c:numRef>
          </c:cat>
          <c:val>
            <c:numRef>
              <c:f>Tabelle1!$B$2:$B$5</c:f>
              <c:numCache>
                <c:formatCode>General</c:formatCode>
                <c:ptCount val="4"/>
                <c:pt idx="0">
                  <c:v>744</c:v>
                </c:pt>
                <c:pt idx="1">
                  <c:v>528</c:v>
                </c:pt>
                <c:pt idx="2">
                  <c:v>394</c:v>
                </c:pt>
              </c:numCache>
            </c:numRef>
          </c:val>
          <c:smooth val="0"/>
          <c:extLst xmlns:c16r2="http://schemas.microsoft.com/office/drawing/2015/06/chart">
            <c:ext xmlns:c16="http://schemas.microsoft.com/office/drawing/2014/chart" uri="{C3380CC4-5D6E-409C-BE32-E72D297353CC}">
              <c16:uniqueId val="{00000000-AA75-4F32-8EAC-7AD182955E6C}"/>
            </c:ext>
          </c:extLst>
        </c:ser>
        <c:ser>
          <c:idx val="1"/>
          <c:order val="1"/>
          <c:tx>
            <c:strRef>
              <c:f>Tabelle1!$C$1</c:f>
              <c:strCache>
                <c:ptCount val="1"/>
                <c:pt idx="0">
                  <c:v>Millionen Übergewichtige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Tabelle1!$A$2:$A$5</c:f>
              <c:numCache>
                <c:formatCode>General</c:formatCode>
                <c:ptCount val="4"/>
                <c:pt idx="0">
                  <c:v>2010</c:v>
                </c:pt>
                <c:pt idx="1">
                  <c:v>2050</c:v>
                </c:pt>
                <c:pt idx="2">
                  <c:v>2100</c:v>
                </c:pt>
              </c:numCache>
            </c:numRef>
          </c:cat>
          <c:val>
            <c:numRef>
              <c:f>Tabelle1!$C$2:$C$5</c:f>
              <c:numCache>
                <c:formatCode>General</c:formatCode>
                <c:ptCount val="4"/>
                <c:pt idx="0">
                  <c:v>1993</c:v>
                </c:pt>
                <c:pt idx="1">
                  <c:v>4135</c:v>
                </c:pt>
                <c:pt idx="2">
                  <c:v>5018</c:v>
                </c:pt>
              </c:numCache>
            </c:numRef>
          </c:val>
          <c:smooth val="0"/>
          <c:extLst xmlns:c16r2="http://schemas.microsoft.com/office/drawing/2015/06/chart">
            <c:ext xmlns:c16="http://schemas.microsoft.com/office/drawing/2014/chart" uri="{C3380CC4-5D6E-409C-BE32-E72D297353CC}">
              <c16:uniqueId val="{00000001-AA75-4F32-8EAC-7AD182955E6C}"/>
            </c:ext>
          </c:extLst>
        </c:ser>
        <c:ser>
          <c:idx val="2"/>
          <c:order val="2"/>
          <c:tx>
            <c:strRef>
              <c:f>Tabelle1!$D$1</c:f>
              <c:strCache>
                <c:ptCount val="1"/>
                <c:pt idx="0">
                  <c:v>Millionen Adipöse</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Tabelle1!$A$2:$A$5</c:f>
              <c:numCache>
                <c:formatCode>General</c:formatCode>
                <c:ptCount val="4"/>
                <c:pt idx="0">
                  <c:v>2010</c:v>
                </c:pt>
                <c:pt idx="1">
                  <c:v>2050</c:v>
                </c:pt>
                <c:pt idx="2">
                  <c:v>2100</c:v>
                </c:pt>
              </c:numCache>
            </c:numRef>
          </c:cat>
          <c:val>
            <c:numRef>
              <c:f>Tabelle1!$D$2:$D$5</c:f>
              <c:numCache>
                <c:formatCode>General</c:formatCode>
                <c:ptCount val="4"/>
                <c:pt idx="0">
                  <c:v>636</c:v>
                </c:pt>
                <c:pt idx="1">
                  <c:v>1492</c:v>
                </c:pt>
                <c:pt idx="2">
                  <c:v>2052</c:v>
                </c:pt>
              </c:numCache>
            </c:numRef>
          </c:val>
          <c:smooth val="0"/>
          <c:extLst xmlns:c16r2="http://schemas.microsoft.com/office/drawing/2015/06/chart">
            <c:ext xmlns:c16="http://schemas.microsoft.com/office/drawing/2014/chart" uri="{C3380CC4-5D6E-409C-BE32-E72D297353CC}">
              <c16:uniqueId val="{00000002-AA75-4F32-8EAC-7AD182955E6C}"/>
            </c:ext>
          </c:extLst>
        </c:ser>
        <c:dLbls>
          <c:showLegendKey val="0"/>
          <c:showVal val="0"/>
          <c:showCatName val="0"/>
          <c:showSerName val="0"/>
          <c:showPercent val="0"/>
          <c:showBubbleSize val="0"/>
        </c:dLbls>
        <c:smooth val="0"/>
        <c:axId val="580834896"/>
        <c:axId val="580827280"/>
      </c:lineChart>
      <c:catAx>
        <c:axId val="580834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80827280"/>
        <c:crosses val="autoZero"/>
        <c:auto val="1"/>
        <c:lblAlgn val="ctr"/>
        <c:lblOffset val="100"/>
        <c:noMultiLvlLbl val="0"/>
      </c:catAx>
      <c:valAx>
        <c:axId val="58082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80834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325FC12210854AEBB6B24E879D239AA1"/>
        <w:category>
          <w:name w:val="Allgemein"/>
          <w:gallery w:val="placeholder"/>
        </w:category>
        <w:types>
          <w:type w:val="bbPlcHdr"/>
        </w:types>
        <w:behaviors>
          <w:behavior w:val="content"/>
        </w:behaviors>
        <w:guid w:val="{D19C6F88-406E-4E06-8503-42452D7A725D}"/>
      </w:docPartPr>
      <w:docPartBody>
        <w:p w:rsidR="00283FF1" w:rsidRDefault="00E431A2" w:rsidP="00E431A2">
          <w:pPr>
            <w:pStyle w:val="325FC12210854AEBB6B24E879D239AA1"/>
          </w:pPr>
          <w:r w:rsidRPr="00BD7BB1">
            <w:rPr>
              <w:rStyle w:val="Platzhaltertext"/>
              <w:color w:val="000000" w:themeColor="text1"/>
            </w:rPr>
            <w:t>0000.</w:t>
          </w:r>
        </w:p>
      </w:docPartBody>
    </w:docPart>
    <w:docPart>
      <w:docPartPr>
        <w:name w:val="83D51CBF6B544FA28888109314CB2DD1"/>
        <w:category>
          <w:name w:val="Allgemein"/>
          <w:gallery w:val="placeholder"/>
        </w:category>
        <w:types>
          <w:type w:val="bbPlcHdr"/>
        </w:types>
        <w:behaviors>
          <w:behavior w:val="content"/>
        </w:behaviors>
        <w:guid w:val="{6CCC63C4-E96A-4BDD-AC3E-74359EDAAB5F}"/>
      </w:docPartPr>
      <w:docPartBody>
        <w:p w:rsidR="00C116CC" w:rsidRDefault="00283FF1" w:rsidP="00283FF1">
          <w:pPr>
            <w:pStyle w:val="83D51CBF6B544FA28888109314CB2DD1"/>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rbel-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283FF1"/>
    <w:rsid w:val="002A50DC"/>
    <w:rsid w:val="009B0A0D"/>
    <w:rsid w:val="00A2123E"/>
    <w:rsid w:val="00C116CC"/>
    <w:rsid w:val="00E431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83FF1"/>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325FC12210854AEBB6B24E879D239AA1">
    <w:name w:val="325FC12210854AEBB6B24E879D239AA1"/>
    <w:rsid w:val="00E431A2"/>
  </w:style>
  <w:style w:type="paragraph" w:customStyle="1" w:styleId="83D51CBF6B544FA28888109314CB2DD1">
    <w:name w:val="83D51CBF6B544FA28888109314CB2DD1"/>
    <w:rsid w:val="00283FF1"/>
  </w:style>
  <w:style w:type="paragraph" w:customStyle="1" w:styleId="CE43C6A6D98C42D2A4BB0C6E3266E259">
    <w:name w:val="CE43C6A6D98C42D2A4BB0C6E3266E259"/>
    <w:rsid w:val="00283FF1"/>
  </w:style>
  <w:style w:type="paragraph" w:customStyle="1" w:styleId="7FEF79CB29A045F69AE9EF5BD822CF0C">
    <w:name w:val="7FEF79CB29A045F69AE9EF5BD822CF0C"/>
    <w:rsid w:val="00283FF1"/>
  </w:style>
  <w:style w:type="paragraph" w:customStyle="1" w:styleId="10C9E68992824285A8CA5A9ABD96750D">
    <w:name w:val="10C9E68992824285A8CA5A9ABD96750D"/>
    <w:rsid w:val="00283F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90F20-4186-4E19-BEF8-E4C0FB089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2053</Words>
  <Characters>12935</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6</cp:revision>
  <cp:lastPrinted>2021-03-03T10:19:00Z</cp:lastPrinted>
  <dcterms:created xsi:type="dcterms:W3CDTF">2021-02-23T09:51:00Z</dcterms:created>
  <dcterms:modified xsi:type="dcterms:W3CDTF">2021-03-03T10:19:00Z</dcterms:modified>
</cp:coreProperties>
</file>